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9FC9" w14:textId="77777777" w:rsidR="00190237" w:rsidRDefault="00190237" w:rsidP="00B00902">
      <w:pPr>
        <w:bidi/>
        <w:spacing w:line="276" w:lineRule="auto"/>
        <w:rPr>
          <w:rFonts w:asciiTheme="majorHAnsi" w:hAnsiTheme="majorHAnsi" w:cstheme="majorHAnsi"/>
          <w:b/>
          <w:bCs/>
          <w:color w:val="001432" w:themeColor="text1"/>
          <w:sz w:val="36"/>
          <w:szCs w:val="36"/>
          <w:rtl/>
        </w:rPr>
      </w:pPr>
      <w:bookmarkStart w:id="0" w:name="_Hlk69165021"/>
    </w:p>
    <w:p w14:paraId="47251097" w14:textId="1BB0D0C7" w:rsidR="00190237" w:rsidRPr="00805BBD" w:rsidRDefault="00256139" w:rsidP="00805BBD">
      <w:pPr>
        <w:spacing w:line="276" w:lineRule="auto"/>
        <w:jc w:val="center"/>
        <w:rPr>
          <w:rFonts w:asciiTheme="majorHAnsi" w:hAnsiTheme="majorHAnsi" w:cstheme="majorHAnsi"/>
          <w:b/>
          <w:bCs/>
          <w:color w:val="001432" w:themeColor="text1"/>
          <w:sz w:val="36"/>
          <w:szCs w:val="36"/>
        </w:rPr>
      </w:pPr>
      <w:r w:rsidRPr="00EB40DB">
        <w:rPr>
          <w:rFonts w:asciiTheme="majorHAnsi" w:hAnsiTheme="majorHAnsi" w:cstheme="majorHAnsi"/>
          <w:b/>
          <w:bCs/>
          <w:color w:val="001432" w:themeColor="text1"/>
          <w:sz w:val="36"/>
          <w:szCs w:val="36"/>
        </w:rPr>
        <w:t xml:space="preserve">IHC Steps </w:t>
      </w:r>
      <w:proofErr w:type="gramStart"/>
      <w:r w:rsidRPr="00EB40DB">
        <w:rPr>
          <w:rFonts w:asciiTheme="majorHAnsi" w:hAnsiTheme="majorHAnsi" w:cstheme="majorHAnsi"/>
          <w:b/>
          <w:bCs/>
          <w:color w:val="001432" w:themeColor="text1"/>
          <w:sz w:val="36"/>
          <w:szCs w:val="36"/>
        </w:rPr>
        <w:t>Into</w:t>
      </w:r>
      <w:proofErr w:type="gramEnd"/>
      <w:r w:rsidRPr="00EB40DB">
        <w:rPr>
          <w:rFonts w:asciiTheme="majorHAnsi" w:hAnsiTheme="majorHAnsi" w:cstheme="majorHAnsi"/>
          <w:b/>
          <w:bCs/>
          <w:color w:val="001432" w:themeColor="text1"/>
          <w:sz w:val="36"/>
          <w:szCs w:val="36"/>
        </w:rPr>
        <w:t xml:space="preserve"> Latin America With AED 734 million Investment In </w:t>
      </w:r>
      <w:proofErr w:type="spellStart"/>
      <w:r w:rsidRPr="00237992">
        <w:rPr>
          <w:rFonts w:asciiTheme="majorHAnsi" w:hAnsiTheme="majorHAnsi" w:cstheme="majorHAnsi"/>
          <w:b/>
          <w:bCs/>
          <w:color w:val="001432" w:themeColor="text1"/>
          <w:sz w:val="36"/>
          <w:szCs w:val="36"/>
        </w:rPr>
        <w:t>Lulo</w:t>
      </w:r>
      <w:proofErr w:type="spellEnd"/>
      <w:r w:rsidRPr="00237992">
        <w:rPr>
          <w:rFonts w:asciiTheme="majorHAnsi" w:hAnsiTheme="majorHAnsi" w:cstheme="majorHAnsi"/>
          <w:b/>
          <w:bCs/>
          <w:color w:val="001432" w:themeColor="text1"/>
          <w:sz w:val="36"/>
          <w:szCs w:val="36"/>
        </w:rPr>
        <w:t xml:space="preserve"> </w:t>
      </w:r>
      <w:r w:rsidR="00533485" w:rsidRPr="00237992">
        <w:rPr>
          <w:rFonts w:asciiTheme="majorHAnsi" w:hAnsiTheme="majorHAnsi" w:cstheme="majorHAnsi"/>
          <w:b/>
          <w:bCs/>
          <w:color w:val="001432" w:themeColor="text1"/>
          <w:sz w:val="36"/>
          <w:szCs w:val="36"/>
        </w:rPr>
        <w:t>Colombia S.A</w:t>
      </w:r>
      <w:r w:rsidR="00332724" w:rsidRPr="00237992">
        <w:rPr>
          <w:rFonts w:asciiTheme="majorHAnsi" w:hAnsiTheme="majorHAnsi" w:cstheme="majorHAnsi"/>
          <w:b/>
          <w:bCs/>
          <w:color w:val="001432" w:themeColor="text1"/>
          <w:sz w:val="36"/>
          <w:szCs w:val="36"/>
        </w:rPr>
        <w:t>.</w:t>
      </w:r>
    </w:p>
    <w:p w14:paraId="78E8F1DA" w14:textId="4D15ECED" w:rsidR="00683ED7" w:rsidRDefault="00683ED7" w:rsidP="002143E1">
      <w:pPr>
        <w:numPr>
          <w:ilvl w:val="0"/>
          <w:numId w:val="7"/>
        </w:numPr>
        <w:spacing w:after="0" w:line="276" w:lineRule="auto"/>
        <w:rPr>
          <w:rFonts w:eastAsia="Times New Roman" w:cstheme="minorHAnsi"/>
          <w:b/>
          <w:bCs/>
          <w:color w:val="0E101A"/>
          <w:sz w:val="24"/>
          <w:szCs w:val="24"/>
        </w:rPr>
      </w:pPr>
      <w:r w:rsidRPr="00683ED7">
        <w:rPr>
          <w:rFonts w:eastAsia="Times New Roman" w:cstheme="minorHAnsi"/>
          <w:b/>
          <w:bCs/>
          <w:color w:val="0E101A"/>
          <w:sz w:val="24"/>
          <w:szCs w:val="24"/>
        </w:rPr>
        <w:t xml:space="preserve">Colombia is the fourth global market </w:t>
      </w:r>
      <w:r>
        <w:rPr>
          <w:rFonts w:eastAsia="Times New Roman" w:cstheme="minorHAnsi"/>
          <w:b/>
          <w:bCs/>
          <w:color w:val="0E101A"/>
          <w:sz w:val="24"/>
          <w:szCs w:val="24"/>
        </w:rPr>
        <w:t xml:space="preserve">IHC steps into </w:t>
      </w:r>
      <w:r w:rsidRPr="00683ED7">
        <w:rPr>
          <w:rFonts w:eastAsia="Times New Roman" w:cstheme="minorHAnsi"/>
          <w:b/>
          <w:bCs/>
          <w:color w:val="0E101A"/>
          <w:sz w:val="24"/>
          <w:szCs w:val="24"/>
        </w:rPr>
        <w:t xml:space="preserve">in </w:t>
      </w:r>
      <w:r w:rsidR="00740421">
        <w:rPr>
          <w:rFonts w:eastAsia="Times New Roman" w:cstheme="minorHAnsi"/>
          <w:b/>
          <w:bCs/>
          <w:color w:val="0E101A"/>
          <w:sz w:val="24"/>
          <w:szCs w:val="24"/>
        </w:rPr>
        <w:t>10 months</w:t>
      </w:r>
      <w:r w:rsidRPr="00683ED7">
        <w:rPr>
          <w:rFonts w:eastAsia="Times New Roman" w:cstheme="minorHAnsi"/>
          <w:b/>
          <w:bCs/>
          <w:color w:val="0E101A"/>
          <w:sz w:val="24"/>
          <w:szCs w:val="24"/>
        </w:rPr>
        <w:t>.</w:t>
      </w:r>
    </w:p>
    <w:p w14:paraId="73FA5DF3" w14:textId="6BE2DA98" w:rsidR="004F046F" w:rsidRPr="00C13F31" w:rsidRDefault="00256139" w:rsidP="002143E1">
      <w:pPr>
        <w:numPr>
          <w:ilvl w:val="0"/>
          <w:numId w:val="7"/>
        </w:numPr>
        <w:spacing w:after="0" w:line="276" w:lineRule="auto"/>
        <w:rPr>
          <w:rFonts w:eastAsia="Times New Roman" w:cstheme="minorHAnsi"/>
          <w:b/>
          <w:bCs/>
          <w:color w:val="0E101A"/>
          <w:sz w:val="24"/>
          <w:szCs w:val="24"/>
        </w:rPr>
      </w:pPr>
      <w:r>
        <w:rPr>
          <w:rFonts w:eastAsia="Times New Roman" w:cstheme="minorHAnsi"/>
          <w:b/>
          <w:bCs/>
          <w:color w:val="0E101A"/>
          <w:sz w:val="24"/>
          <w:szCs w:val="24"/>
        </w:rPr>
        <w:t xml:space="preserve">The </w:t>
      </w:r>
      <w:r w:rsidR="00EB40DB">
        <w:rPr>
          <w:rFonts w:eastAsia="Times New Roman" w:cstheme="minorHAnsi"/>
          <w:b/>
          <w:bCs/>
          <w:color w:val="0E101A"/>
          <w:sz w:val="24"/>
          <w:szCs w:val="24"/>
        </w:rPr>
        <w:t>inves</w:t>
      </w:r>
      <w:r w:rsidR="00AC0002">
        <w:rPr>
          <w:rFonts w:eastAsia="Times New Roman" w:cstheme="minorHAnsi"/>
          <w:b/>
          <w:bCs/>
          <w:color w:val="0E101A"/>
          <w:sz w:val="24"/>
          <w:szCs w:val="24"/>
        </w:rPr>
        <w:t>t</w:t>
      </w:r>
      <w:r w:rsidR="00EB40DB">
        <w:rPr>
          <w:rFonts w:eastAsia="Times New Roman" w:cstheme="minorHAnsi"/>
          <w:b/>
          <w:bCs/>
          <w:color w:val="0E101A"/>
          <w:sz w:val="24"/>
          <w:szCs w:val="24"/>
        </w:rPr>
        <w:t>ment represent</w:t>
      </w:r>
      <w:r w:rsidR="00AC0002">
        <w:rPr>
          <w:rFonts w:eastAsia="Times New Roman" w:cstheme="minorHAnsi"/>
          <w:b/>
          <w:bCs/>
          <w:color w:val="0E101A"/>
          <w:sz w:val="24"/>
          <w:szCs w:val="24"/>
        </w:rPr>
        <w:t>s</w:t>
      </w:r>
      <w:r w:rsidR="00EB40DB">
        <w:rPr>
          <w:rFonts w:eastAsia="Times New Roman" w:cstheme="minorHAnsi"/>
          <w:b/>
          <w:bCs/>
          <w:color w:val="0E101A"/>
          <w:sz w:val="24"/>
          <w:szCs w:val="24"/>
        </w:rPr>
        <w:t xml:space="preserve"> </w:t>
      </w:r>
      <w:r w:rsidR="00EB40DB" w:rsidRPr="00237992">
        <w:rPr>
          <w:rFonts w:eastAsia="Times New Roman" w:cstheme="minorHAnsi"/>
          <w:b/>
          <w:bCs/>
          <w:color w:val="0E101A"/>
          <w:sz w:val="24"/>
          <w:szCs w:val="24"/>
        </w:rPr>
        <w:t xml:space="preserve">49.9% of Lulo </w:t>
      </w:r>
      <w:r w:rsidR="00190237" w:rsidRPr="00237992">
        <w:rPr>
          <w:rFonts w:eastAsia="Times New Roman" w:cstheme="minorHAnsi"/>
          <w:b/>
          <w:bCs/>
          <w:color w:val="0E101A"/>
          <w:sz w:val="24"/>
          <w:szCs w:val="24"/>
        </w:rPr>
        <w:t>B</w:t>
      </w:r>
      <w:r w:rsidR="00EB40DB" w:rsidRPr="00237992">
        <w:rPr>
          <w:rFonts w:eastAsia="Times New Roman" w:cstheme="minorHAnsi"/>
          <w:b/>
          <w:bCs/>
          <w:color w:val="0E101A"/>
          <w:sz w:val="24"/>
          <w:szCs w:val="24"/>
        </w:rPr>
        <w:t xml:space="preserve">ank's </w:t>
      </w:r>
      <w:r w:rsidR="00190237" w:rsidRPr="00237992">
        <w:rPr>
          <w:rFonts w:eastAsia="Times New Roman" w:cstheme="minorHAnsi"/>
          <w:b/>
          <w:bCs/>
          <w:color w:val="0E101A"/>
          <w:sz w:val="24"/>
          <w:szCs w:val="24"/>
        </w:rPr>
        <w:t>ownership.</w:t>
      </w:r>
      <w:r w:rsidR="00190237">
        <w:rPr>
          <w:rFonts w:eastAsia="Times New Roman" w:cstheme="minorHAnsi"/>
          <w:b/>
          <w:bCs/>
          <w:color w:val="0E101A"/>
          <w:sz w:val="24"/>
          <w:szCs w:val="24"/>
        </w:rPr>
        <w:t xml:space="preserve"> </w:t>
      </w:r>
    </w:p>
    <w:p w14:paraId="66F31F19" w14:textId="77777777" w:rsidR="004F046F" w:rsidRDefault="00256139" w:rsidP="004F046F">
      <w:pPr>
        <w:numPr>
          <w:ilvl w:val="0"/>
          <w:numId w:val="7"/>
        </w:numPr>
        <w:spacing w:after="0" w:line="276" w:lineRule="auto"/>
        <w:rPr>
          <w:rFonts w:eastAsia="Times New Roman" w:cstheme="minorHAnsi"/>
          <w:b/>
          <w:bCs/>
          <w:color w:val="0E101A"/>
          <w:sz w:val="24"/>
          <w:szCs w:val="24"/>
        </w:rPr>
      </w:pPr>
      <w:r>
        <w:rPr>
          <w:rFonts w:eastAsia="Times New Roman" w:cstheme="minorHAnsi"/>
          <w:b/>
          <w:bCs/>
          <w:color w:val="0E101A"/>
          <w:sz w:val="24"/>
          <w:szCs w:val="24"/>
        </w:rPr>
        <w:t>L</w:t>
      </w:r>
      <w:r w:rsidRPr="004F046F">
        <w:rPr>
          <w:rFonts w:eastAsia="Times New Roman" w:cstheme="minorHAnsi"/>
          <w:b/>
          <w:bCs/>
          <w:color w:val="0E101A"/>
          <w:sz w:val="24"/>
          <w:szCs w:val="24"/>
        </w:rPr>
        <w:t>ulo bank</w:t>
      </w:r>
      <w:r>
        <w:rPr>
          <w:rFonts w:eastAsia="Times New Roman" w:cstheme="minorHAnsi"/>
          <w:b/>
          <w:bCs/>
          <w:color w:val="0E101A"/>
          <w:sz w:val="24"/>
          <w:szCs w:val="24"/>
        </w:rPr>
        <w:t xml:space="preserve"> is the </w:t>
      </w:r>
      <w:r w:rsidRPr="004F046F">
        <w:rPr>
          <w:rFonts w:eastAsia="Times New Roman" w:cstheme="minorHAnsi"/>
          <w:b/>
          <w:bCs/>
          <w:color w:val="0E101A"/>
          <w:sz w:val="24"/>
          <w:szCs w:val="24"/>
          <w:lang w:val="en-US"/>
        </w:rPr>
        <w:t xml:space="preserve">first </w:t>
      </w:r>
      <w:r w:rsidR="00BE227E">
        <w:rPr>
          <w:rFonts w:eastAsia="Times New Roman" w:cstheme="minorHAnsi"/>
          <w:b/>
          <w:bCs/>
          <w:color w:val="0E101A"/>
          <w:sz w:val="24"/>
          <w:szCs w:val="24"/>
          <w:lang w:val="en-US"/>
        </w:rPr>
        <w:t xml:space="preserve">fully </w:t>
      </w:r>
      <w:r w:rsidRPr="004F046F">
        <w:rPr>
          <w:rFonts w:eastAsia="Times New Roman" w:cstheme="minorHAnsi"/>
          <w:b/>
          <w:bCs/>
          <w:color w:val="0E101A"/>
          <w:sz w:val="24"/>
          <w:szCs w:val="24"/>
          <w:lang w:val="en-US"/>
        </w:rPr>
        <w:t>digital</w:t>
      </w:r>
      <w:r w:rsidR="00BE227E">
        <w:rPr>
          <w:rFonts w:eastAsia="Times New Roman" w:cstheme="minorHAnsi"/>
          <w:b/>
          <w:bCs/>
          <w:color w:val="0E101A"/>
          <w:sz w:val="24"/>
          <w:szCs w:val="24"/>
          <w:lang w:val="en-US"/>
        </w:rPr>
        <w:t>ized</w:t>
      </w:r>
      <w:r w:rsidRPr="004F046F">
        <w:rPr>
          <w:rFonts w:eastAsia="Times New Roman" w:cstheme="minorHAnsi"/>
          <w:b/>
          <w:bCs/>
          <w:color w:val="0E101A"/>
          <w:sz w:val="24"/>
          <w:szCs w:val="24"/>
          <w:lang w:val="en-US"/>
        </w:rPr>
        <w:t xml:space="preserve"> Bank in Colombia</w:t>
      </w:r>
      <w:r>
        <w:rPr>
          <w:rFonts w:eastAsia="Times New Roman" w:cstheme="minorHAnsi"/>
          <w:b/>
          <w:bCs/>
          <w:color w:val="0E101A"/>
          <w:sz w:val="24"/>
          <w:szCs w:val="24"/>
          <w:lang w:val="en-US"/>
        </w:rPr>
        <w:t>.</w:t>
      </w:r>
    </w:p>
    <w:p w14:paraId="17FCEA9C" w14:textId="77777777" w:rsidR="002027E4" w:rsidRPr="00F813AD" w:rsidRDefault="002027E4" w:rsidP="002027E4">
      <w:pPr>
        <w:spacing w:after="0" w:line="276" w:lineRule="auto"/>
        <w:jc w:val="both"/>
        <w:rPr>
          <w:rFonts w:cstheme="minorHAnsi"/>
          <w:sz w:val="24"/>
          <w:szCs w:val="24"/>
        </w:rPr>
      </w:pPr>
    </w:p>
    <w:p w14:paraId="5CC1250F" w14:textId="356E3B00" w:rsidR="00EE3F91" w:rsidRPr="00130D65" w:rsidRDefault="00256139" w:rsidP="00EB40DB">
      <w:pPr>
        <w:pStyle w:val="NormalWeb"/>
        <w:spacing w:before="0" w:beforeAutospacing="0" w:after="0" w:afterAutospacing="0" w:line="276" w:lineRule="auto"/>
        <w:jc w:val="both"/>
        <w:rPr>
          <w:rFonts w:asciiTheme="minorHAnsi" w:eastAsia="Times New Roman" w:hAnsiTheme="minorHAnsi" w:cstheme="minorHAnsi"/>
          <w:color w:val="0E101A"/>
        </w:rPr>
      </w:pPr>
      <w:r w:rsidRPr="00F813AD">
        <w:rPr>
          <w:rFonts w:asciiTheme="minorHAnsi" w:hAnsiTheme="minorHAnsi" w:cstheme="minorHAnsi"/>
          <w:b/>
          <w:bCs/>
        </w:rPr>
        <w:t xml:space="preserve">Abu Dhabi, UAE; </w:t>
      </w:r>
      <w:r w:rsidR="00237992" w:rsidRPr="00BD1B32">
        <w:rPr>
          <w:rFonts w:asciiTheme="minorHAnsi" w:hAnsiTheme="minorHAnsi" w:cstheme="minorHAnsi"/>
          <w:b/>
          <w:bCs/>
        </w:rPr>
        <w:t>Oct</w:t>
      </w:r>
      <w:r w:rsidR="00C13F31" w:rsidRPr="00BD1B32">
        <w:rPr>
          <w:rFonts w:asciiTheme="minorHAnsi" w:hAnsiTheme="minorHAnsi" w:cstheme="minorHAnsi"/>
          <w:b/>
          <w:bCs/>
        </w:rPr>
        <w:t xml:space="preserve"> </w:t>
      </w:r>
      <w:r w:rsidR="00BD1B32" w:rsidRPr="00BD1B32">
        <w:rPr>
          <w:rFonts w:asciiTheme="minorHAnsi" w:hAnsiTheme="minorHAnsi" w:cstheme="minorHAnsi"/>
          <w:b/>
          <w:bCs/>
          <w:lang w:val="en-US"/>
        </w:rPr>
        <w:t>10</w:t>
      </w:r>
      <w:r w:rsidR="005458A4">
        <w:rPr>
          <w:rFonts w:asciiTheme="minorHAnsi" w:hAnsiTheme="minorHAnsi" w:cstheme="minorHAnsi"/>
          <w:b/>
          <w:bCs/>
        </w:rPr>
        <w:t xml:space="preserve">, </w:t>
      </w:r>
      <w:r w:rsidRPr="00BD1B32">
        <w:rPr>
          <w:rFonts w:asciiTheme="minorHAnsi" w:hAnsiTheme="minorHAnsi" w:cstheme="minorHAnsi"/>
          <w:b/>
          <w:bCs/>
          <w:rtl/>
        </w:rPr>
        <w:t>2022</w:t>
      </w:r>
      <w:r w:rsidRPr="00BD1B32">
        <w:rPr>
          <w:rFonts w:asciiTheme="minorHAnsi" w:hAnsiTheme="minorHAnsi" w:cstheme="minorHAnsi"/>
          <w:b/>
          <w:bCs/>
        </w:rPr>
        <w:t>:</w:t>
      </w:r>
      <w:r w:rsidRPr="00F813AD">
        <w:rPr>
          <w:rFonts w:asciiTheme="minorHAnsi" w:hAnsiTheme="minorHAnsi" w:cstheme="minorHAnsi"/>
        </w:rPr>
        <w:t xml:space="preserve"> </w:t>
      </w:r>
      <w:r w:rsidR="00190237" w:rsidRPr="00190237">
        <w:rPr>
          <w:rFonts w:asciiTheme="minorHAnsi" w:eastAsia="Times New Roman" w:hAnsiTheme="minorHAnsi" w:cstheme="minorHAnsi"/>
          <w:color w:val="000000"/>
        </w:rPr>
        <w:t xml:space="preserve">International Holding Company PJSC (ADX: IHC), the diversified Abu Dhabi-based conglomerate, has announced today a capital investment </w:t>
      </w:r>
      <w:proofErr w:type="gramStart"/>
      <w:r w:rsidR="00190237" w:rsidRPr="00190237">
        <w:rPr>
          <w:rFonts w:asciiTheme="minorHAnsi" w:eastAsia="Times New Roman" w:hAnsiTheme="minorHAnsi" w:cstheme="minorHAnsi"/>
          <w:color w:val="000000"/>
        </w:rPr>
        <w:t xml:space="preserve">of  </w:t>
      </w:r>
      <w:r w:rsidR="00190237" w:rsidRPr="00190237">
        <w:rPr>
          <w:rFonts w:asciiTheme="minorHAnsi" w:eastAsia="Times New Roman" w:hAnsiTheme="minorHAnsi" w:cstheme="minorHAnsi"/>
          <w:b/>
          <w:bCs/>
          <w:color w:val="000000"/>
        </w:rPr>
        <w:t>AED</w:t>
      </w:r>
      <w:proofErr w:type="gramEnd"/>
      <w:r w:rsidR="00190237" w:rsidRPr="00190237">
        <w:rPr>
          <w:rFonts w:asciiTheme="minorHAnsi" w:eastAsia="Times New Roman" w:hAnsiTheme="minorHAnsi" w:cstheme="minorHAnsi"/>
          <w:b/>
          <w:bCs/>
          <w:color w:val="000000"/>
        </w:rPr>
        <w:t xml:space="preserve"> 734 million (USD 200</w:t>
      </w:r>
      <w:r w:rsidR="00431213">
        <w:rPr>
          <w:rFonts w:asciiTheme="minorHAnsi" w:eastAsia="Times New Roman" w:hAnsiTheme="minorHAnsi" w:cstheme="minorHAnsi"/>
          <w:b/>
          <w:bCs/>
          <w:color w:val="000000"/>
        </w:rPr>
        <w:t xml:space="preserve"> million</w:t>
      </w:r>
      <w:r w:rsidR="00190237" w:rsidRPr="00190237">
        <w:rPr>
          <w:rFonts w:asciiTheme="minorHAnsi" w:eastAsia="Times New Roman" w:hAnsiTheme="minorHAnsi" w:cstheme="minorHAnsi"/>
          <w:b/>
          <w:bCs/>
          <w:color w:val="000000"/>
        </w:rPr>
        <w:t>)</w:t>
      </w:r>
      <w:r w:rsidR="00190237" w:rsidRPr="00190237">
        <w:rPr>
          <w:rFonts w:asciiTheme="minorHAnsi" w:eastAsia="Times New Roman" w:hAnsiTheme="minorHAnsi" w:cstheme="minorHAnsi"/>
          <w:color w:val="000000"/>
        </w:rPr>
        <w:t xml:space="preserve"> </w:t>
      </w:r>
      <w:r w:rsidR="00190237" w:rsidRPr="00237992">
        <w:rPr>
          <w:rFonts w:asciiTheme="minorHAnsi" w:eastAsia="Times New Roman" w:hAnsiTheme="minorHAnsi" w:cstheme="minorHAnsi"/>
          <w:color w:val="000000"/>
        </w:rPr>
        <w:t xml:space="preserve">in </w:t>
      </w:r>
      <w:proofErr w:type="spellStart"/>
      <w:r w:rsidR="00190237" w:rsidRPr="00237992">
        <w:rPr>
          <w:rFonts w:asciiTheme="minorHAnsi" w:eastAsia="Times New Roman" w:hAnsiTheme="minorHAnsi" w:cstheme="minorHAnsi"/>
          <w:color w:val="000000"/>
        </w:rPr>
        <w:t>Lulo</w:t>
      </w:r>
      <w:proofErr w:type="spellEnd"/>
      <w:r w:rsidR="00190237" w:rsidRPr="00237992">
        <w:rPr>
          <w:rFonts w:asciiTheme="minorHAnsi" w:eastAsia="Times New Roman" w:hAnsiTheme="minorHAnsi" w:cstheme="minorHAnsi"/>
          <w:color w:val="000000"/>
        </w:rPr>
        <w:t xml:space="preserve"> </w:t>
      </w:r>
      <w:r w:rsidR="00332724" w:rsidRPr="00237992">
        <w:rPr>
          <w:rFonts w:asciiTheme="minorHAnsi" w:eastAsia="Times New Roman" w:hAnsiTheme="minorHAnsi" w:cstheme="minorHAnsi"/>
          <w:color w:val="000000"/>
        </w:rPr>
        <w:t>Colombia S.A.</w:t>
      </w:r>
      <w:r w:rsidR="00190237" w:rsidRPr="00237992">
        <w:rPr>
          <w:rFonts w:asciiTheme="minorHAnsi" w:eastAsia="Times New Roman" w:hAnsiTheme="minorHAnsi" w:cstheme="minorHAnsi"/>
          <w:color w:val="000000"/>
        </w:rPr>
        <w:t>, the</w:t>
      </w:r>
      <w:r w:rsidR="00332724" w:rsidRPr="00237992">
        <w:rPr>
          <w:rFonts w:asciiTheme="minorHAnsi" w:eastAsia="Times New Roman" w:hAnsiTheme="minorHAnsi" w:cstheme="minorHAnsi"/>
          <w:color w:val="000000"/>
        </w:rPr>
        <w:t xml:space="preserve"> holding company of</w:t>
      </w:r>
      <w:r w:rsidR="00190237" w:rsidRPr="00237992">
        <w:rPr>
          <w:rFonts w:asciiTheme="minorHAnsi" w:eastAsia="Times New Roman" w:hAnsiTheme="minorHAnsi" w:cstheme="minorHAnsi"/>
          <w:color w:val="000000"/>
        </w:rPr>
        <w:t xml:space="preserve"> </w:t>
      </w:r>
      <w:r w:rsidR="00332724" w:rsidRPr="00237992">
        <w:rPr>
          <w:rFonts w:asciiTheme="minorHAnsi" w:eastAsia="Times New Roman" w:hAnsiTheme="minorHAnsi" w:cstheme="minorHAnsi"/>
          <w:color w:val="000000"/>
        </w:rPr>
        <w:t xml:space="preserve">Colombia </w:t>
      </w:r>
      <w:r w:rsidR="00190237" w:rsidRPr="00237992">
        <w:rPr>
          <w:rFonts w:asciiTheme="minorHAnsi" w:eastAsia="Times New Roman" w:hAnsiTheme="minorHAnsi" w:cstheme="minorHAnsi"/>
          <w:color w:val="000000"/>
        </w:rPr>
        <w:t>first regulated digital bank</w:t>
      </w:r>
      <w:r w:rsidR="00332724" w:rsidRPr="00237992">
        <w:rPr>
          <w:rFonts w:asciiTheme="minorHAnsi" w:eastAsia="Times New Roman" w:hAnsiTheme="minorHAnsi" w:cstheme="minorHAnsi"/>
          <w:color w:val="000000"/>
        </w:rPr>
        <w:t xml:space="preserve"> </w:t>
      </w:r>
      <w:proofErr w:type="spellStart"/>
      <w:r w:rsidR="00332724" w:rsidRPr="00237992">
        <w:rPr>
          <w:rFonts w:asciiTheme="minorHAnsi" w:eastAsia="Times New Roman" w:hAnsiTheme="minorHAnsi" w:cstheme="minorHAnsi"/>
          <w:color w:val="000000"/>
        </w:rPr>
        <w:t>Lulo</w:t>
      </w:r>
      <w:proofErr w:type="spellEnd"/>
      <w:r w:rsidR="00332724" w:rsidRPr="00237992">
        <w:rPr>
          <w:rFonts w:asciiTheme="minorHAnsi" w:eastAsia="Times New Roman" w:hAnsiTheme="minorHAnsi" w:cstheme="minorHAnsi"/>
          <w:color w:val="000000"/>
        </w:rPr>
        <w:t xml:space="preserve"> Bank S.A.</w:t>
      </w:r>
      <w:r w:rsidR="00513ABF" w:rsidRPr="00237992">
        <w:rPr>
          <w:rFonts w:asciiTheme="minorHAnsi" w:eastAsia="Times New Roman" w:hAnsiTheme="minorHAnsi" w:cstheme="minorHAnsi"/>
          <w:color w:val="000000"/>
        </w:rPr>
        <w:t>, through one of its subsidiaries</w:t>
      </w:r>
      <w:r w:rsidR="003700DF" w:rsidRPr="00237992">
        <w:rPr>
          <w:rFonts w:asciiTheme="minorHAnsi" w:eastAsia="Times New Roman" w:hAnsiTheme="minorHAnsi" w:cstheme="minorHAnsi"/>
          <w:color w:val="000000"/>
        </w:rPr>
        <w:t>.</w:t>
      </w:r>
    </w:p>
    <w:p w14:paraId="78B787BD" w14:textId="77777777" w:rsidR="00F813AD" w:rsidRPr="00033447" w:rsidRDefault="00F813AD" w:rsidP="00F813AD">
      <w:pPr>
        <w:pStyle w:val="NormalWeb"/>
        <w:spacing w:before="0" w:beforeAutospacing="0" w:after="0" w:afterAutospacing="0" w:line="276" w:lineRule="auto"/>
        <w:jc w:val="both"/>
        <w:rPr>
          <w:rFonts w:asciiTheme="minorHAnsi" w:eastAsia="Times New Roman" w:hAnsiTheme="minorHAnsi" w:cstheme="minorHAnsi"/>
          <w:color w:val="0E101A"/>
          <w:sz w:val="20"/>
          <w:szCs w:val="20"/>
        </w:rPr>
      </w:pPr>
    </w:p>
    <w:p w14:paraId="33DF4EF4" w14:textId="77777777" w:rsidR="008925CB" w:rsidRDefault="00256139" w:rsidP="00033447">
      <w:pPr>
        <w:pStyle w:val="NormalWeb"/>
        <w:spacing w:before="0" w:beforeAutospacing="0" w:after="0" w:afterAutospacing="0" w:line="276" w:lineRule="auto"/>
        <w:jc w:val="both"/>
        <w:rPr>
          <w:rFonts w:asciiTheme="minorHAnsi" w:eastAsia="Times New Roman" w:hAnsiTheme="minorHAnsi" w:cstheme="minorHAnsi"/>
          <w:color w:val="0E101A"/>
        </w:rPr>
      </w:pPr>
      <w:r w:rsidRPr="00130D65">
        <w:rPr>
          <w:rFonts w:asciiTheme="minorHAnsi" w:eastAsia="Times New Roman" w:hAnsiTheme="minorHAnsi" w:cstheme="minorHAnsi"/>
          <w:color w:val="0E101A"/>
        </w:rPr>
        <w:t xml:space="preserve">Lulo Bank is a </w:t>
      </w:r>
      <w:r w:rsidR="006C77A3" w:rsidRPr="00130D65">
        <w:rPr>
          <w:rFonts w:asciiTheme="minorHAnsi" w:eastAsia="Times New Roman" w:hAnsiTheme="minorHAnsi" w:cstheme="minorHAnsi"/>
          <w:color w:val="0E101A"/>
        </w:rPr>
        <w:t xml:space="preserve">fast-growing and </w:t>
      </w:r>
      <w:r w:rsidRPr="00130D65">
        <w:rPr>
          <w:rFonts w:asciiTheme="minorHAnsi" w:eastAsia="Times New Roman" w:hAnsiTheme="minorHAnsi" w:cstheme="minorHAnsi"/>
          <w:color w:val="0E101A"/>
        </w:rPr>
        <w:t xml:space="preserve">new player that enters the field of </w:t>
      </w:r>
      <w:r w:rsidR="00EA1A15">
        <w:rPr>
          <w:rFonts w:asciiTheme="minorHAnsi" w:eastAsia="Times New Roman" w:hAnsiTheme="minorHAnsi" w:cstheme="minorHAnsi"/>
          <w:color w:val="0E101A"/>
        </w:rPr>
        <w:t>‘</w:t>
      </w:r>
      <w:r w:rsidRPr="00130D65">
        <w:rPr>
          <w:rFonts w:asciiTheme="minorHAnsi" w:eastAsia="Times New Roman" w:hAnsiTheme="minorHAnsi" w:cstheme="minorHAnsi"/>
          <w:color w:val="0E101A"/>
        </w:rPr>
        <w:t>neobanks</w:t>
      </w:r>
      <w:r w:rsidR="00EA1A15">
        <w:rPr>
          <w:rFonts w:asciiTheme="minorHAnsi" w:eastAsia="Times New Roman" w:hAnsiTheme="minorHAnsi" w:cstheme="minorHAnsi"/>
          <w:color w:val="0E101A"/>
        </w:rPr>
        <w:t>’</w:t>
      </w:r>
      <w:r w:rsidRPr="00130D65">
        <w:rPr>
          <w:rFonts w:asciiTheme="minorHAnsi" w:eastAsia="Times New Roman" w:hAnsiTheme="minorHAnsi" w:cstheme="minorHAnsi"/>
          <w:color w:val="0E101A"/>
        </w:rPr>
        <w:t xml:space="preserve"> in the Colombian market and plans to ex</w:t>
      </w:r>
      <w:r w:rsidR="006C77A3" w:rsidRPr="00130D65">
        <w:rPr>
          <w:rFonts w:asciiTheme="minorHAnsi" w:eastAsia="Times New Roman" w:hAnsiTheme="minorHAnsi" w:cstheme="minorHAnsi"/>
          <w:color w:val="0E101A"/>
        </w:rPr>
        <w:t>pand</w:t>
      </w:r>
      <w:r w:rsidRPr="00130D65">
        <w:rPr>
          <w:rFonts w:asciiTheme="minorHAnsi" w:eastAsia="Times New Roman" w:hAnsiTheme="minorHAnsi" w:cstheme="minorHAnsi"/>
          <w:color w:val="0E101A"/>
        </w:rPr>
        <w:t xml:space="preserve"> into other </w:t>
      </w:r>
      <w:r w:rsidR="006C77A3" w:rsidRPr="00130D65">
        <w:rPr>
          <w:rFonts w:asciiTheme="minorHAnsi" w:eastAsia="Times New Roman" w:hAnsiTheme="minorHAnsi" w:cstheme="minorHAnsi"/>
          <w:color w:val="0E101A"/>
        </w:rPr>
        <w:t xml:space="preserve">Latin American markets. </w:t>
      </w:r>
      <w:r w:rsidR="006C77A3" w:rsidRPr="00237992">
        <w:rPr>
          <w:rFonts w:asciiTheme="minorHAnsi" w:eastAsia="Times New Roman" w:hAnsiTheme="minorHAnsi" w:cstheme="minorHAnsi"/>
          <w:color w:val="0E101A"/>
        </w:rPr>
        <w:t xml:space="preserve">The Bank </w:t>
      </w:r>
      <w:r w:rsidR="00332724" w:rsidRPr="00237992">
        <w:rPr>
          <w:rFonts w:asciiTheme="minorHAnsi" w:eastAsia="Times New Roman" w:hAnsiTheme="minorHAnsi" w:cstheme="minorHAnsi"/>
          <w:color w:val="0E101A"/>
        </w:rPr>
        <w:t>was</w:t>
      </w:r>
      <w:r w:rsidR="006C77A3" w:rsidRPr="00237992">
        <w:rPr>
          <w:rFonts w:asciiTheme="minorHAnsi" w:eastAsia="Times New Roman" w:hAnsiTheme="minorHAnsi" w:cstheme="minorHAnsi"/>
          <w:color w:val="0E101A"/>
        </w:rPr>
        <w:t xml:space="preserve"> </w:t>
      </w:r>
      <w:r w:rsidR="00E00283" w:rsidRPr="00237992">
        <w:rPr>
          <w:rFonts w:asciiTheme="minorHAnsi" w:eastAsia="Times New Roman" w:hAnsiTheme="minorHAnsi" w:cstheme="minorHAnsi"/>
          <w:color w:val="0E101A"/>
        </w:rPr>
        <w:t xml:space="preserve">founded </w:t>
      </w:r>
      <w:r w:rsidR="00F67895" w:rsidRPr="00237992">
        <w:rPr>
          <w:rFonts w:asciiTheme="minorHAnsi" w:eastAsia="Times New Roman" w:hAnsiTheme="minorHAnsi" w:cstheme="minorHAnsi"/>
          <w:color w:val="0E101A"/>
        </w:rPr>
        <w:t>by Jaime Gilinski, a Colombian businessman with over 45 years of banking experience in Latin America, North America, and Europe.</w:t>
      </w:r>
    </w:p>
    <w:p w14:paraId="18E4B2B2" w14:textId="77777777" w:rsidR="00033447" w:rsidRPr="00033447" w:rsidRDefault="00033447" w:rsidP="00033447">
      <w:pPr>
        <w:pStyle w:val="NormalWeb"/>
        <w:spacing w:before="0" w:beforeAutospacing="0" w:after="0" w:afterAutospacing="0" w:line="276" w:lineRule="auto"/>
        <w:jc w:val="both"/>
        <w:rPr>
          <w:rFonts w:asciiTheme="minorHAnsi" w:eastAsia="Times New Roman" w:hAnsiTheme="minorHAnsi" w:cstheme="minorHAnsi"/>
          <w:color w:val="0E101A"/>
          <w:sz w:val="18"/>
          <w:szCs w:val="18"/>
        </w:rPr>
      </w:pPr>
    </w:p>
    <w:p w14:paraId="18A81827" w14:textId="77777777" w:rsidR="00F9296B" w:rsidRPr="00130D65" w:rsidRDefault="00256139" w:rsidP="00F9296B">
      <w:pPr>
        <w:pStyle w:val="NormalWeb"/>
        <w:spacing w:before="0" w:beforeAutospacing="0" w:after="0" w:afterAutospacing="0" w:line="276" w:lineRule="auto"/>
        <w:jc w:val="both"/>
        <w:rPr>
          <w:rFonts w:asciiTheme="minorHAnsi" w:eastAsia="Times New Roman" w:hAnsiTheme="minorHAnsi" w:cstheme="minorHAnsi"/>
          <w:color w:val="0E101A"/>
        </w:rPr>
      </w:pPr>
      <w:r w:rsidRPr="00130D65">
        <w:rPr>
          <w:rFonts w:asciiTheme="minorHAnsi" w:eastAsia="Times New Roman" w:hAnsiTheme="minorHAnsi" w:cstheme="minorHAnsi"/>
          <w:color w:val="0E101A"/>
        </w:rPr>
        <w:t>Commenting on the acquisition, </w:t>
      </w:r>
      <w:r w:rsidRPr="00130D65">
        <w:rPr>
          <w:rFonts w:asciiTheme="minorHAnsi" w:hAnsiTheme="minorHAnsi" w:cstheme="minorHAnsi"/>
          <w:b/>
          <w:bCs/>
        </w:rPr>
        <w:t>Syed Basar Shueb,</w:t>
      </w:r>
      <w:r w:rsidR="00151CA2">
        <w:rPr>
          <w:rFonts w:asciiTheme="minorHAnsi" w:hAnsiTheme="minorHAnsi" w:cstheme="minorHAnsi"/>
          <w:b/>
          <w:bCs/>
        </w:rPr>
        <w:t xml:space="preserve"> </w:t>
      </w:r>
      <w:r w:rsidRPr="00130D65">
        <w:rPr>
          <w:rFonts w:asciiTheme="minorHAnsi" w:hAnsiTheme="minorHAnsi" w:cstheme="minorHAnsi"/>
          <w:b/>
          <w:bCs/>
        </w:rPr>
        <w:t>Chief Executive Officer,</w:t>
      </w:r>
      <w:r w:rsidR="00151CA2">
        <w:rPr>
          <w:rFonts w:asciiTheme="minorHAnsi" w:hAnsiTheme="minorHAnsi" w:cstheme="minorHAnsi"/>
          <w:b/>
          <w:bCs/>
        </w:rPr>
        <w:t xml:space="preserve"> IHC</w:t>
      </w:r>
      <w:r w:rsidRPr="00130D65">
        <w:rPr>
          <w:rFonts w:asciiTheme="minorHAnsi" w:hAnsiTheme="minorHAnsi" w:cstheme="minorHAnsi"/>
          <w:b/>
          <w:bCs/>
        </w:rPr>
        <w:t xml:space="preserve"> </w:t>
      </w:r>
      <w:r w:rsidRPr="00130D65">
        <w:rPr>
          <w:rFonts w:asciiTheme="minorHAnsi" w:eastAsia="Times New Roman" w:hAnsiTheme="minorHAnsi" w:cstheme="minorHAnsi"/>
          <w:b/>
          <w:bCs/>
          <w:color w:val="0E101A"/>
        </w:rPr>
        <w:t>said:"</w:t>
      </w:r>
      <w:r w:rsidRPr="00130D65">
        <w:rPr>
          <w:rFonts w:asciiTheme="minorHAnsi" w:eastAsia="Times New Roman" w:hAnsiTheme="minorHAnsi" w:cstheme="minorHAnsi"/>
          <w:color w:val="0E101A"/>
        </w:rPr>
        <w:t> The fintech ecosystem in Latin America has risen quickly over the past couple of years with sustained growth observed in all segments and in the number of active fintech companies, especially digital banking which has witnessed the most substantial growth at an average annual rate of 57% between 2017 and 2021 to reach 60</w:t>
      </w:r>
      <w:r w:rsidR="00BE227E">
        <w:rPr>
          <w:rFonts w:asciiTheme="minorHAnsi" w:eastAsia="Times New Roman" w:hAnsiTheme="minorHAnsi" w:cstheme="minorHAnsi"/>
          <w:color w:val="0E101A"/>
        </w:rPr>
        <w:t>%</w:t>
      </w:r>
      <w:r w:rsidR="00254006" w:rsidRPr="00130D65">
        <w:rPr>
          <w:rFonts w:asciiTheme="minorHAnsi" w:eastAsia="Times New Roman" w:hAnsiTheme="minorHAnsi" w:cstheme="minorHAnsi"/>
          <w:color w:val="0E101A"/>
        </w:rPr>
        <w:t>. In the case of Colombia, it has made significant progress in terms of financial inclusion</w:t>
      </w:r>
      <w:r w:rsidR="00203410">
        <w:rPr>
          <w:rFonts w:asciiTheme="minorHAnsi" w:eastAsia="Times New Roman" w:hAnsiTheme="minorHAnsi" w:cstheme="minorHAnsi"/>
          <w:color w:val="0E101A"/>
        </w:rPr>
        <w:t xml:space="preserve"> with the</w:t>
      </w:r>
      <w:r w:rsidR="00254006" w:rsidRPr="00130D65">
        <w:rPr>
          <w:rFonts w:asciiTheme="minorHAnsi" w:eastAsia="Times New Roman" w:hAnsiTheme="minorHAnsi" w:cstheme="minorHAnsi"/>
          <w:color w:val="0E101A"/>
        </w:rPr>
        <w:t xml:space="preserve"> increase in access to financial products, which rose to 87%</w:t>
      </w:r>
      <w:r w:rsidR="00203410">
        <w:rPr>
          <w:rFonts w:asciiTheme="minorHAnsi" w:eastAsia="Times New Roman" w:hAnsiTheme="minorHAnsi" w:cstheme="minorHAnsi"/>
          <w:color w:val="0E101A"/>
        </w:rPr>
        <w:t>.</w:t>
      </w:r>
      <w:r w:rsidRPr="00F9296B">
        <w:t xml:space="preserve"> </w:t>
      </w:r>
      <w:r>
        <w:rPr>
          <w:rFonts w:asciiTheme="minorHAnsi" w:eastAsia="Times New Roman" w:hAnsiTheme="minorHAnsi" w:cstheme="minorHAnsi"/>
          <w:color w:val="0E101A"/>
        </w:rPr>
        <w:t>I</w:t>
      </w:r>
      <w:r w:rsidRPr="00F9296B">
        <w:rPr>
          <w:rFonts w:asciiTheme="minorHAnsi" w:eastAsia="Times New Roman" w:hAnsiTheme="minorHAnsi" w:cstheme="minorHAnsi"/>
          <w:color w:val="0E101A"/>
        </w:rPr>
        <w:t xml:space="preserve">t’s critical for </w:t>
      </w:r>
      <w:r>
        <w:rPr>
          <w:rFonts w:asciiTheme="minorHAnsi" w:eastAsia="Times New Roman" w:hAnsiTheme="minorHAnsi" w:cstheme="minorHAnsi"/>
          <w:color w:val="0E101A"/>
        </w:rPr>
        <w:t>us</w:t>
      </w:r>
      <w:r w:rsidRPr="00F9296B">
        <w:rPr>
          <w:rFonts w:asciiTheme="minorHAnsi" w:eastAsia="Times New Roman" w:hAnsiTheme="minorHAnsi" w:cstheme="minorHAnsi"/>
          <w:color w:val="0E101A"/>
        </w:rPr>
        <w:t xml:space="preserve"> to align </w:t>
      </w:r>
      <w:r>
        <w:rPr>
          <w:rFonts w:asciiTheme="minorHAnsi" w:eastAsia="Times New Roman" w:hAnsiTheme="minorHAnsi" w:cstheme="minorHAnsi"/>
          <w:color w:val="0E101A"/>
        </w:rPr>
        <w:t>any</w:t>
      </w:r>
      <w:r w:rsidRPr="00F9296B">
        <w:rPr>
          <w:rFonts w:asciiTheme="minorHAnsi" w:eastAsia="Times New Roman" w:hAnsiTheme="minorHAnsi" w:cstheme="minorHAnsi"/>
          <w:color w:val="0E101A"/>
        </w:rPr>
        <w:t xml:space="preserve"> </w:t>
      </w:r>
      <w:r>
        <w:rPr>
          <w:rFonts w:asciiTheme="minorHAnsi" w:eastAsia="Times New Roman" w:hAnsiTheme="minorHAnsi" w:cstheme="minorHAnsi"/>
          <w:color w:val="0E101A"/>
        </w:rPr>
        <w:t>transaction</w:t>
      </w:r>
      <w:r w:rsidRPr="00F9296B">
        <w:rPr>
          <w:rFonts w:asciiTheme="minorHAnsi" w:eastAsia="Times New Roman" w:hAnsiTheme="minorHAnsi" w:cstheme="minorHAnsi"/>
          <w:color w:val="0E101A"/>
        </w:rPr>
        <w:t xml:space="preserve"> with </w:t>
      </w:r>
      <w:r>
        <w:rPr>
          <w:rFonts w:asciiTheme="minorHAnsi" w:eastAsia="Times New Roman" w:hAnsiTheme="minorHAnsi" w:cstheme="minorHAnsi"/>
          <w:color w:val="0E101A"/>
        </w:rPr>
        <w:t>our</w:t>
      </w:r>
      <w:r w:rsidRPr="00F9296B">
        <w:rPr>
          <w:rFonts w:asciiTheme="minorHAnsi" w:eastAsia="Times New Roman" w:hAnsiTheme="minorHAnsi" w:cstheme="minorHAnsi"/>
          <w:color w:val="0E101A"/>
        </w:rPr>
        <w:t xml:space="preserve"> growth strategies, whether to acquire new capabilities</w:t>
      </w:r>
      <w:r>
        <w:rPr>
          <w:rFonts w:asciiTheme="minorHAnsi" w:eastAsia="Times New Roman" w:hAnsiTheme="minorHAnsi" w:cstheme="minorHAnsi"/>
          <w:color w:val="0E101A"/>
        </w:rPr>
        <w:t xml:space="preserve"> or</w:t>
      </w:r>
      <w:r w:rsidRPr="00F9296B">
        <w:rPr>
          <w:rFonts w:asciiTheme="minorHAnsi" w:eastAsia="Times New Roman" w:hAnsiTheme="minorHAnsi" w:cstheme="minorHAnsi"/>
          <w:color w:val="0E101A"/>
        </w:rPr>
        <w:t xml:space="preserve"> consolidate</w:t>
      </w:r>
      <w:r>
        <w:rPr>
          <w:rFonts w:asciiTheme="minorHAnsi" w:eastAsia="Times New Roman" w:hAnsiTheme="minorHAnsi" w:cstheme="minorHAnsi"/>
          <w:color w:val="0E101A"/>
        </w:rPr>
        <w:t xml:space="preserve">, and </w:t>
      </w:r>
      <w:r w:rsidR="00332724" w:rsidRPr="00237992">
        <w:rPr>
          <w:rFonts w:asciiTheme="minorHAnsi" w:eastAsia="Times New Roman" w:hAnsiTheme="minorHAnsi" w:cstheme="minorHAnsi"/>
          <w:color w:val="000000"/>
        </w:rPr>
        <w:t>Lulo Colombia S.A</w:t>
      </w:r>
      <w:r w:rsidR="00D13F9A" w:rsidRPr="00237992">
        <w:rPr>
          <w:rFonts w:asciiTheme="minorHAnsi" w:eastAsia="Times New Roman" w:hAnsiTheme="minorHAnsi" w:cstheme="minorHAnsi"/>
          <w:color w:val="000000"/>
        </w:rPr>
        <w:t>.</w:t>
      </w:r>
      <w:r w:rsidR="00332724" w:rsidRPr="00237992">
        <w:rPr>
          <w:rFonts w:asciiTheme="minorHAnsi" w:eastAsia="Times New Roman" w:hAnsiTheme="minorHAnsi" w:cstheme="minorHAnsi"/>
          <w:color w:val="0E101A"/>
        </w:rPr>
        <w:t xml:space="preserve"> </w:t>
      </w:r>
      <w:r w:rsidR="009771BB" w:rsidRPr="00237992">
        <w:rPr>
          <w:rFonts w:asciiTheme="minorHAnsi" w:eastAsia="Times New Roman" w:hAnsiTheme="minorHAnsi" w:cstheme="minorHAnsi"/>
          <w:color w:val="0E101A"/>
        </w:rPr>
        <w:t>s</w:t>
      </w:r>
      <w:r w:rsidR="00AC0002" w:rsidRPr="00237992">
        <w:rPr>
          <w:rFonts w:asciiTheme="minorHAnsi" w:eastAsia="Times New Roman" w:hAnsiTheme="minorHAnsi" w:cstheme="minorHAnsi"/>
          <w:color w:val="0E101A"/>
        </w:rPr>
        <w:t>i</w:t>
      </w:r>
      <w:r w:rsidR="009771BB" w:rsidRPr="00237992">
        <w:rPr>
          <w:rFonts w:asciiTheme="minorHAnsi" w:eastAsia="Times New Roman" w:hAnsiTheme="minorHAnsi" w:cstheme="minorHAnsi"/>
          <w:color w:val="0E101A"/>
        </w:rPr>
        <w:t xml:space="preserve">ts </w:t>
      </w:r>
      <w:r w:rsidRPr="00237992">
        <w:rPr>
          <w:rFonts w:asciiTheme="minorHAnsi" w:eastAsia="Times New Roman" w:hAnsiTheme="minorHAnsi" w:cstheme="minorHAnsi"/>
          <w:color w:val="0E101A"/>
        </w:rPr>
        <w:t>very well</w:t>
      </w:r>
      <w:r>
        <w:rPr>
          <w:rFonts w:asciiTheme="minorHAnsi" w:eastAsia="Times New Roman" w:hAnsiTheme="minorHAnsi" w:cstheme="minorHAnsi"/>
          <w:color w:val="0E101A"/>
        </w:rPr>
        <w:t xml:space="preserve"> with our expansion plan</w:t>
      </w:r>
      <w:r w:rsidR="00AC0002">
        <w:rPr>
          <w:rFonts w:asciiTheme="minorHAnsi" w:eastAsia="Times New Roman" w:hAnsiTheme="minorHAnsi" w:cstheme="minorHAnsi"/>
          <w:color w:val="0E101A"/>
        </w:rPr>
        <w:t>s</w:t>
      </w:r>
      <w:r>
        <w:rPr>
          <w:rFonts w:asciiTheme="minorHAnsi" w:eastAsia="Times New Roman" w:hAnsiTheme="minorHAnsi" w:cstheme="minorHAnsi"/>
          <w:color w:val="0E101A"/>
        </w:rPr>
        <w:t xml:space="preserve"> in Latin America </w:t>
      </w:r>
      <w:r w:rsidRPr="00130D65">
        <w:rPr>
          <w:rFonts w:asciiTheme="minorHAnsi" w:eastAsia="Times New Roman" w:hAnsiTheme="minorHAnsi" w:cstheme="minorHAnsi"/>
          <w:color w:val="0E101A"/>
        </w:rPr>
        <w:t>”.</w:t>
      </w:r>
    </w:p>
    <w:p w14:paraId="03B36092" w14:textId="77777777" w:rsidR="00023E5E" w:rsidRPr="00130D65" w:rsidRDefault="00023E5E" w:rsidP="00F813AD">
      <w:pPr>
        <w:pStyle w:val="NormalWeb"/>
        <w:spacing w:before="0" w:beforeAutospacing="0" w:after="0" w:afterAutospacing="0" w:line="276" w:lineRule="auto"/>
        <w:jc w:val="both"/>
        <w:rPr>
          <w:rFonts w:asciiTheme="minorHAnsi" w:eastAsia="Times New Roman" w:hAnsiTheme="minorHAnsi" w:cstheme="minorHAnsi"/>
          <w:color w:val="0E101A"/>
        </w:rPr>
      </w:pPr>
    </w:p>
    <w:p w14:paraId="138C70B2" w14:textId="74BDE670" w:rsidR="00F806AC" w:rsidRPr="00130D65" w:rsidRDefault="00256139" w:rsidP="00F806AC">
      <w:pPr>
        <w:pStyle w:val="NormalWeb"/>
        <w:spacing w:before="0" w:beforeAutospacing="0" w:after="0" w:afterAutospacing="0" w:line="276" w:lineRule="auto"/>
        <w:jc w:val="both"/>
        <w:rPr>
          <w:rFonts w:asciiTheme="minorHAnsi" w:eastAsia="Times New Roman" w:hAnsiTheme="minorHAnsi" w:cstheme="minorHAnsi"/>
          <w:color w:val="0E101A"/>
        </w:rPr>
      </w:pPr>
      <w:r w:rsidRPr="00D13F9A">
        <w:rPr>
          <w:rFonts w:asciiTheme="minorHAnsi" w:eastAsia="Times New Roman" w:hAnsiTheme="minorHAnsi" w:cstheme="minorHAnsi"/>
          <w:color w:val="0E101A"/>
        </w:rPr>
        <w:t xml:space="preserve">Lulo Bank is the nation's first fully digitalized Bank has signed up more than </w:t>
      </w:r>
      <w:r w:rsidR="00237992" w:rsidRPr="005458A4">
        <w:rPr>
          <w:rFonts w:asciiTheme="minorHAnsi" w:eastAsia="Times New Roman" w:hAnsiTheme="minorHAnsi" w:cstheme="minorHAnsi"/>
          <w:b/>
          <w:bCs/>
          <w:color w:val="0E101A"/>
        </w:rPr>
        <w:t>1</w:t>
      </w:r>
      <w:r w:rsidR="00BD1B32" w:rsidRPr="005458A4">
        <w:rPr>
          <w:rFonts w:asciiTheme="minorHAnsi" w:eastAsia="Times New Roman" w:hAnsiTheme="minorHAnsi" w:cstheme="minorHAnsi"/>
          <w:b/>
          <w:bCs/>
          <w:color w:val="0E101A"/>
        </w:rPr>
        <w:t>20</w:t>
      </w:r>
      <w:r w:rsidRPr="005458A4">
        <w:rPr>
          <w:rFonts w:asciiTheme="minorHAnsi" w:eastAsia="Times New Roman" w:hAnsiTheme="minorHAnsi" w:cstheme="minorHAnsi"/>
          <w:b/>
          <w:bCs/>
          <w:color w:val="0E101A"/>
        </w:rPr>
        <w:t>,000</w:t>
      </w:r>
      <w:r w:rsidRPr="00D13F9A">
        <w:rPr>
          <w:rFonts w:asciiTheme="minorHAnsi" w:eastAsia="Times New Roman" w:hAnsiTheme="minorHAnsi" w:cstheme="minorHAnsi"/>
          <w:color w:val="0E101A"/>
        </w:rPr>
        <w:t xml:space="preserve"> active users since it was launched in Jun</w:t>
      </w:r>
      <w:r w:rsidR="00332724" w:rsidRPr="00D13F9A">
        <w:rPr>
          <w:rFonts w:asciiTheme="minorHAnsi" w:eastAsia="Times New Roman" w:hAnsiTheme="minorHAnsi" w:cstheme="minorHAnsi"/>
          <w:color w:val="0E101A"/>
        </w:rPr>
        <w:t>e</w:t>
      </w:r>
      <w:r w:rsidRPr="00D13F9A">
        <w:rPr>
          <w:rFonts w:asciiTheme="minorHAnsi" w:eastAsia="Times New Roman" w:hAnsiTheme="minorHAnsi" w:cstheme="minorHAnsi"/>
          <w:color w:val="0E101A"/>
        </w:rPr>
        <w:t xml:space="preserve"> this year and is set to complete more than </w:t>
      </w:r>
      <w:r w:rsidRPr="005458A4">
        <w:rPr>
          <w:rFonts w:asciiTheme="minorHAnsi" w:eastAsia="Times New Roman" w:hAnsiTheme="minorHAnsi" w:cstheme="minorHAnsi"/>
          <w:b/>
          <w:bCs/>
          <w:color w:val="0E101A"/>
        </w:rPr>
        <w:t>200,000</w:t>
      </w:r>
      <w:r w:rsidRPr="00D13F9A">
        <w:rPr>
          <w:rFonts w:asciiTheme="minorHAnsi" w:eastAsia="Times New Roman" w:hAnsiTheme="minorHAnsi" w:cstheme="minorHAnsi"/>
          <w:color w:val="0E101A"/>
        </w:rPr>
        <w:t xml:space="preserve"> </w:t>
      </w:r>
      <w:proofErr w:type="gramStart"/>
      <w:r w:rsidRPr="00D13F9A">
        <w:rPr>
          <w:rFonts w:asciiTheme="minorHAnsi" w:eastAsia="Times New Roman" w:hAnsiTheme="minorHAnsi" w:cstheme="minorHAnsi"/>
          <w:color w:val="0E101A"/>
        </w:rPr>
        <w:t>user</w:t>
      </w:r>
      <w:r w:rsidR="005458A4">
        <w:rPr>
          <w:rFonts w:asciiTheme="minorHAnsi" w:eastAsia="Times New Roman" w:hAnsiTheme="minorHAnsi" w:cstheme="minorHAnsi"/>
          <w:color w:val="0E101A"/>
        </w:rPr>
        <w:t>s</w:t>
      </w:r>
      <w:proofErr w:type="gramEnd"/>
      <w:r w:rsidRPr="00D13F9A">
        <w:rPr>
          <w:rFonts w:asciiTheme="minorHAnsi" w:eastAsia="Times New Roman" w:hAnsiTheme="minorHAnsi" w:cstheme="minorHAnsi"/>
          <w:color w:val="0E101A"/>
        </w:rPr>
        <w:t xml:space="preserve"> applications before the end of </w:t>
      </w:r>
      <w:r w:rsidR="00151CA2" w:rsidRPr="00D13F9A">
        <w:rPr>
          <w:rFonts w:asciiTheme="minorHAnsi" w:eastAsia="Times New Roman" w:hAnsiTheme="minorHAnsi" w:cstheme="minorHAnsi"/>
          <w:color w:val="0E101A"/>
        </w:rPr>
        <w:t>2022</w:t>
      </w:r>
      <w:r w:rsidRPr="00D13F9A">
        <w:rPr>
          <w:rFonts w:asciiTheme="minorHAnsi" w:eastAsia="Times New Roman" w:hAnsiTheme="minorHAnsi" w:cstheme="minorHAnsi"/>
          <w:color w:val="0E101A"/>
        </w:rPr>
        <w:t xml:space="preserve">. The Bank </w:t>
      </w:r>
      <w:r w:rsidR="00AD1F78" w:rsidRPr="00D13F9A">
        <w:rPr>
          <w:rFonts w:asciiTheme="minorHAnsi" w:eastAsia="Times New Roman" w:hAnsiTheme="minorHAnsi" w:cstheme="minorHAnsi"/>
          <w:color w:val="0E101A"/>
        </w:rPr>
        <w:t xml:space="preserve">aims to achieve a customer base of 1 Mn </w:t>
      </w:r>
      <w:r w:rsidRPr="00D13F9A">
        <w:rPr>
          <w:rFonts w:asciiTheme="minorHAnsi" w:eastAsia="Times New Roman" w:hAnsiTheme="minorHAnsi" w:cstheme="minorHAnsi"/>
          <w:color w:val="0E101A"/>
        </w:rPr>
        <w:t xml:space="preserve">in </w:t>
      </w:r>
      <w:r w:rsidR="00151CA2" w:rsidRPr="00D13F9A">
        <w:rPr>
          <w:rFonts w:asciiTheme="minorHAnsi" w:eastAsia="Times New Roman" w:hAnsiTheme="minorHAnsi" w:cstheme="minorHAnsi"/>
          <w:color w:val="0E101A"/>
        </w:rPr>
        <w:t>Colombia</w:t>
      </w:r>
      <w:r w:rsidRPr="00D13F9A">
        <w:rPr>
          <w:rFonts w:asciiTheme="minorHAnsi" w:eastAsia="Times New Roman" w:hAnsiTheme="minorHAnsi" w:cstheme="minorHAnsi"/>
          <w:color w:val="0E101A"/>
        </w:rPr>
        <w:t xml:space="preserve"> </w:t>
      </w:r>
      <w:r w:rsidR="00AD1F78" w:rsidRPr="00D13F9A">
        <w:rPr>
          <w:rFonts w:asciiTheme="minorHAnsi" w:eastAsia="Times New Roman" w:hAnsiTheme="minorHAnsi" w:cstheme="minorHAnsi"/>
          <w:color w:val="0E101A"/>
        </w:rPr>
        <w:t>within the next three years.</w:t>
      </w:r>
    </w:p>
    <w:p w14:paraId="0DCC2439" w14:textId="77777777" w:rsidR="00F806AC" w:rsidRPr="00130D65" w:rsidRDefault="00F806AC" w:rsidP="00F806AC">
      <w:pPr>
        <w:pStyle w:val="NormalWeb"/>
        <w:spacing w:before="0" w:beforeAutospacing="0" w:after="0" w:afterAutospacing="0" w:line="276" w:lineRule="auto"/>
        <w:jc w:val="both"/>
        <w:rPr>
          <w:rFonts w:asciiTheme="minorHAnsi" w:eastAsia="Times New Roman" w:hAnsiTheme="minorHAnsi" w:cstheme="minorHAnsi"/>
          <w:color w:val="0E101A"/>
        </w:rPr>
      </w:pPr>
    </w:p>
    <w:p w14:paraId="038AA7D7" w14:textId="2DCB1912" w:rsidR="00203410" w:rsidRDefault="00256139" w:rsidP="001A540B">
      <w:pPr>
        <w:pStyle w:val="NormalWeb"/>
        <w:spacing w:before="0" w:beforeAutospacing="0" w:after="0" w:afterAutospacing="0" w:line="276" w:lineRule="auto"/>
        <w:jc w:val="both"/>
        <w:rPr>
          <w:rFonts w:asciiTheme="minorHAnsi" w:eastAsia="Times New Roman" w:hAnsiTheme="minorHAnsi" w:cstheme="minorHAnsi"/>
          <w:color w:val="0E101A"/>
        </w:rPr>
      </w:pPr>
      <w:r w:rsidRPr="00BD1B32">
        <w:rPr>
          <w:rFonts w:asciiTheme="minorHAnsi" w:eastAsia="Times New Roman" w:hAnsiTheme="minorHAnsi" w:cstheme="minorHAnsi"/>
          <w:b/>
          <w:bCs/>
          <w:color w:val="0E101A"/>
        </w:rPr>
        <w:lastRenderedPageBreak/>
        <w:t xml:space="preserve">Benjamin </w:t>
      </w:r>
      <w:proofErr w:type="spellStart"/>
      <w:r w:rsidRPr="00BD1B32">
        <w:rPr>
          <w:rFonts w:asciiTheme="minorHAnsi" w:eastAsia="Times New Roman" w:hAnsiTheme="minorHAnsi" w:cstheme="minorHAnsi"/>
          <w:b/>
          <w:bCs/>
          <w:color w:val="0E101A"/>
        </w:rPr>
        <w:t>Gilinski</w:t>
      </w:r>
      <w:proofErr w:type="spellEnd"/>
      <w:r w:rsidR="00AD1F78" w:rsidRPr="00BD1B32">
        <w:rPr>
          <w:rFonts w:asciiTheme="minorHAnsi" w:eastAsia="Times New Roman" w:hAnsiTheme="minorHAnsi" w:cstheme="minorHAnsi"/>
          <w:b/>
          <w:bCs/>
          <w:color w:val="0E101A"/>
        </w:rPr>
        <w:t xml:space="preserve">, </w:t>
      </w:r>
      <w:r w:rsidRPr="00BD1B32">
        <w:rPr>
          <w:rFonts w:asciiTheme="minorHAnsi" w:eastAsia="Times New Roman" w:hAnsiTheme="minorHAnsi" w:cstheme="minorHAnsi"/>
          <w:b/>
          <w:bCs/>
          <w:color w:val="0E101A"/>
        </w:rPr>
        <w:t xml:space="preserve">Chairman of </w:t>
      </w:r>
      <w:proofErr w:type="spellStart"/>
      <w:r w:rsidR="00AD1F78" w:rsidRPr="00BD1B32">
        <w:rPr>
          <w:rFonts w:asciiTheme="minorHAnsi" w:eastAsia="Times New Roman" w:hAnsiTheme="minorHAnsi" w:cstheme="minorHAnsi"/>
          <w:b/>
          <w:bCs/>
          <w:color w:val="0E101A"/>
        </w:rPr>
        <w:t>Lulo</w:t>
      </w:r>
      <w:proofErr w:type="spellEnd"/>
      <w:r w:rsidR="00AD1F78" w:rsidRPr="00BD1B32">
        <w:rPr>
          <w:rFonts w:asciiTheme="minorHAnsi" w:eastAsia="Times New Roman" w:hAnsiTheme="minorHAnsi" w:cstheme="minorHAnsi"/>
          <w:b/>
          <w:bCs/>
          <w:color w:val="0E101A"/>
        </w:rPr>
        <w:t xml:space="preserve"> Bank</w:t>
      </w:r>
      <w:r w:rsidR="00AD1F78" w:rsidRPr="00BD1B32">
        <w:rPr>
          <w:rFonts w:asciiTheme="minorHAnsi" w:eastAsia="Times New Roman" w:hAnsiTheme="minorHAnsi" w:cstheme="minorHAnsi"/>
          <w:color w:val="0E101A"/>
        </w:rPr>
        <w:t>,</w:t>
      </w:r>
      <w:r w:rsidR="00AD1F78" w:rsidRPr="00130D65">
        <w:rPr>
          <w:rFonts w:asciiTheme="minorHAnsi" w:eastAsia="Times New Roman" w:hAnsiTheme="minorHAnsi" w:cstheme="minorHAnsi"/>
          <w:color w:val="0E101A"/>
        </w:rPr>
        <w:t xml:space="preserve"> </w:t>
      </w:r>
      <w:proofErr w:type="spellStart"/>
      <w:proofErr w:type="gramStart"/>
      <w:r w:rsidR="00AD1F78" w:rsidRPr="00130D65">
        <w:rPr>
          <w:rFonts w:asciiTheme="minorHAnsi" w:eastAsia="Times New Roman" w:hAnsiTheme="minorHAnsi" w:cstheme="minorHAnsi"/>
          <w:color w:val="0E101A"/>
        </w:rPr>
        <w:t>said:</w:t>
      </w:r>
      <w:r w:rsidR="001A540B" w:rsidRPr="001A540B">
        <w:rPr>
          <w:rFonts w:asciiTheme="minorHAnsi" w:eastAsia="Times New Roman" w:hAnsiTheme="minorHAnsi" w:cstheme="minorHAnsi"/>
          <w:color w:val="0E101A"/>
        </w:rPr>
        <w:t>“</w:t>
      </w:r>
      <w:proofErr w:type="gramEnd"/>
      <w:r w:rsidR="001A540B" w:rsidRPr="001A540B">
        <w:rPr>
          <w:rFonts w:asciiTheme="minorHAnsi" w:eastAsia="Times New Roman" w:hAnsiTheme="minorHAnsi" w:cstheme="minorHAnsi"/>
          <w:color w:val="0E101A"/>
        </w:rPr>
        <w:t>Digital</w:t>
      </w:r>
      <w:proofErr w:type="spellEnd"/>
      <w:r w:rsidR="001A540B" w:rsidRPr="001A540B">
        <w:rPr>
          <w:rFonts w:asciiTheme="minorHAnsi" w:eastAsia="Times New Roman" w:hAnsiTheme="minorHAnsi" w:cstheme="minorHAnsi"/>
          <w:color w:val="0E101A"/>
        </w:rPr>
        <w:t xml:space="preserve"> banking has come a long way in Colombia. Adoption of new </w:t>
      </w:r>
      <w:proofErr w:type="spellStart"/>
      <w:r w:rsidR="001A540B" w:rsidRPr="001A540B">
        <w:rPr>
          <w:rFonts w:asciiTheme="minorHAnsi" w:eastAsia="Times New Roman" w:hAnsiTheme="minorHAnsi" w:cstheme="minorHAnsi"/>
          <w:color w:val="0E101A"/>
        </w:rPr>
        <w:t>behaviors</w:t>
      </w:r>
      <w:proofErr w:type="spellEnd"/>
      <w:r w:rsidR="001A540B" w:rsidRPr="001A540B">
        <w:rPr>
          <w:rFonts w:asciiTheme="minorHAnsi" w:eastAsia="Times New Roman" w:hAnsiTheme="minorHAnsi" w:cstheme="minorHAnsi"/>
          <w:color w:val="0E101A"/>
        </w:rPr>
        <w:t xml:space="preserve"> and new technologies takes time, but it’s already dramatically changed how consumers interact with financial products in our market. The financial companies that win in the future will be those that understand that human </w:t>
      </w:r>
      <w:proofErr w:type="spellStart"/>
      <w:r w:rsidR="001A540B" w:rsidRPr="001A540B">
        <w:rPr>
          <w:rFonts w:asciiTheme="minorHAnsi" w:eastAsia="Times New Roman" w:hAnsiTheme="minorHAnsi" w:cstheme="minorHAnsi"/>
          <w:color w:val="0E101A"/>
        </w:rPr>
        <w:t>behavior</w:t>
      </w:r>
      <w:proofErr w:type="spellEnd"/>
      <w:r w:rsidR="001A540B" w:rsidRPr="001A540B">
        <w:rPr>
          <w:rFonts w:asciiTheme="minorHAnsi" w:eastAsia="Times New Roman" w:hAnsiTheme="minorHAnsi" w:cstheme="minorHAnsi"/>
          <w:color w:val="0E101A"/>
        </w:rPr>
        <w:t xml:space="preserve"> is constantly changing and keep on investing in new technologies. We are thrilled to have IHC join our mission of revolutionizing the financial landscape in Latin America.”</w:t>
      </w:r>
    </w:p>
    <w:p w14:paraId="36FE85BA" w14:textId="77777777" w:rsidR="001A540B" w:rsidRDefault="001A540B" w:rsidP="001A540B">
      <w:pPr>
        <w:pStyle w:val="NormalWeb"/>
        <w:spacing w:before="0" w:beforeAutospacing="0" w:after="0" w:afterAutospacing="0" w:line="276" w:lineRule="auto"/>
        <w:jc w:val="both"/>
        <w:rPr>
          <w:rFonts w:asciiTheme="minorHAnsi" w:eastAsia="Times New Roman" w:hAnsiTheme="minorHAnsi" w:cstheme="minorHAnsi"/>
          <w:color w:val="0E101A"/>
        </w:rPr>
      </w:pPr>
    </w:p>
    <w:p w14:paraId="7955A2B7" w14:textId="694617CA" w:rsidR="00023E5E" w:rsidRDefault="00256139" w:rsidP="00FC511F">
      <w:pPr>
        <w:pStyle w:val="NormalWeb"/>
        <w:spacing w:before="0" w:beforeAutospacing="0" w:after="0" w:afterAutospacing="0" w:line="276" w:lineRule="auto"/>
        <w:jc w:val="both"/>
        <w:rPr>
          <w:rFonts w:asciiTheme="minorHAnsi" w:eastAsia="Times New Roman" w:hAnsiTheme="minorHAnsi" w:cstheme="minorHAnsi"/>
          <w:color w:val="0E101A"/>
        </w:rPr>
      </w:pPr>
      <w:r>
        <w:rPr>
          <w:rFonts w:asciiTheme="minorHAnsi" w:eastAsia="Times New Roman" w:hAnsiTheme="minorHAnsi" w:cstheme="minorHAnsi"/>
          <w:color w:val="0E101A"/>
        </w:rPr>
        <w:t>E</w:t>
      </w:r>
      <w:r w:rsidRPr="00AC0002">
        <w:rPr>
          <w:rFonts w:asciiTheme="minorHAnsi" w:eastAsia="Times New Roman" w:hAnsiTheme="minorHAnsi" w:cstheme="minorHAnsi"/>
          <w:color w:val="0E101A"/>
        </w:rPr>
        <w:t>arlier this year</w:t>
      </w:r>
      <w:r w:rsidR="00AD1F78">
        <w:rPr>
          <w:rFonts w:asciiTheme="minorHAnsi" w:eastAsia="Times New Roman" w:hAnsiTheme="minorHAnsi" w:cstheme="minorHAnsi"/>
          <w:color w:val="0E101A"/>
        </w:rPr>
        <w:t xml:space="preserve">, </w:t>
      </w:r>
      <w:r w:rsidR="00AD1F78" w:rsidRPr="00023E5E">
        <w:rPr>
          <w:rFonts w:asciiTheme="minorHAnsi" w:eastAsia="Times New Roman" w:hAnsiTheme="minorHAnsi" w:cstheme="minorHAnsi"/>
          <w:color w:val="0E101A"/>
        </w:rPr>
        <w:t>Lulo Bank received the prestigious iF Design Award 2022</w:t>
      </w:r>
      <w:r>
        <w:rPr>
          <w:rFonts w:asciiTheme="minorHAnsi" w:eastAsia="Times New Roman" w:hAnsiTheme="minorHAnsi" w:cstheme="minorHAnsi"/>
          <w:color w:val="0E101A"/>
        </w:rPr>
        <w:t>, a</w:t>
      </w:r>
      <w:r w:rsidR="00AD1F78" w:rsidRPr="00023E5E">
        <w:rPr>
          <w:rFonts w:asciiTheme="minorHAnsi" w:eastAsia="Times New Roman" w:hAnsiTheme="minorHAnsi" w:cstheme="minorHAnsi"/>
          <w:color w:val="0E101A"/>
        </w:rPr>
        <w:t xml:space="preserve"> global design award in the 'Interfaces for Digital Media category. This is the first time a company in the financial sector has received this recognition in Colombia. In the past, the IF Award has honored big brands like Apple and Google.</w:t>
      </w:r>
      <w:r w:rsidR="00FC511F">
        <w:rPr>
          <w:rFonts w:asciiTheme="minorHAnsi" w:eastAsia="Times New Roman" w:hAnsiTheme="minorHAnsi" w:cstheme="minorHAnsi"/>
          <w:color w:val="0E101A"/>
        </w:rPr>
        <w:t xml:space="preserve"> The </w:t>
      </w:r>
      <w:r w:rsidR="00FC511F" w:rsidRPr="00FC511F">
        <w:rPr>
          <w:rFonts w:asciiTheme="minorHAnsi" w:eastAsia="Times New Roman" w:hAnsiTheme="minorHAnsi" w:cstheme="minorHAnsi"/>
          <w:color w:val="0E101A"/>
        </w:rPr>
        <w:t>Bank</w:t>
      </w:r>
      <w:r w:rsidR="00FC511F">
        <w:rPr>
          <w:rFonts w:asciiTheme="minorHAnsi" w:eastAsia="Times New Roman" w:hAnsiTheme="minorHAnsi" w:cstheme="minorHAnsi"/>
          <w:color w:val="0E101A"/>
        </w:rPr>
        <w:t xml:space="preserve"> </w:t>
      </w:r>
      <w:r w:rsidR="00FC511F" w:rsidRPr="00FC511F">
        <w:rPr>
          <w:rFonts w:asciiTheme="minorHAnsi" w:eastAsia="Times New Roman" w:hAnsiTheme="minorHAnsi" w:cstheme="minorHAnsi"/>
          <w:color w:val="0E101A"/>
        </w:rPr>
        <w:t xml:space="preserve">was </w:t>
      </w:r>
      <w:r w:rsidR="00FC511F">
        <w:rPr>
          <w:rFonts w:asciiTheme="minorHAnsi" w:eastAsia="Times New Roman" w:hAnsiTheme="minorHAnsi" w:cstheme="minorHAnsi"/>
          <w:color w:val="0E101A"/>
        </w:rPr>
        <w:t xml:space="preserve">also </w:t>
      </w:r>
      <w:r w:rsidR="00FC511F" w:rsidRPr="00FC511F">
        <w:rPr>
          <w:rFonts w:asciiTheme="minorHAnsi" w:eastAsia="Times New Roman" w:hAnsiTheme="minorHAnsi" w:cstheme="minorHAnsi"/>
          <w:color w:val="0E101A"/>
        </w:rPr>
        <w:t>certified as a 'Great Place to Work in Colombia.' Great Place to Work (GPTW) was granted the certification, the world's most prestigious work environment research and consulting firm.</w:t>
      </w:r>
    </w:p>
    <w:p w14:paraId="410B94BF" w14:textId="74564098" w:rsidR="00805BBD" w:rsidRDefault="00805BBD" w:rsidP="00FC511F">
      <w:pPr>
        <w:pStyle w:val="NormalWeb"/>
        <w:spacing w:before="0" w:beforeAutospacing="0" w:after="0" w:afterAutospacing="0" w:line="276" w:lineRule="auto"/>
        <w:jc w:val="both"/>
        <w:rPr>
          <w:rFonts w:asciiTheme="minorHAnsi" w:eastAsia="Times New Roman" w:hAnsiTheme="minorHAnsi" w:cstheme="minorHAnsi"/>
          <w:color w:val="0E101A"/>
        </w:rPr>
      </w:pPr>
    </w:p>
    <w:p w14:paraId="65504ED9" w14:textId="17A9620A" w:rsidR="002027E4" w:rsidRDefault="00B064FF" w:rsidP="002027E4">
      <w:pPr>
        <w:spacing w:after="0" w:line="276" w:lineRule="auto"/>
        <w:jc w:val="both"/>
        <w:rPr>
          <w:rFonts w:eastAsia="Times New Roman" w:cstheme="minorHAnsi"/>
          <w:color w:val="0E101A"/>
          <w:sz w:val="24"/>
          <w:szCs w:val="24"/>
        </w:rPr>
      </w:pPr>
      <w:r w:rsidRPr="00B064FF">
        <w:rPr>
          <w:rFonts w:eastAsia="Times New Roman" w:cstheme="minorHAnsi"/>
          <w:color w:val="0E101A"/>
          <w:sz w:val="24"/>
          <w:szCs w:val="24"/>
        </w:rPr>
        <w:t>The Colombian market is the fourth global market IHC is expanding its investment activities into this year after the United Kingdom, India, and Turkey.</w:t>
      </w:r>
    </w:p>
    <w:p w14:paraId="5822D0A1" w14:textId="77777777" w:rsidR="00B064FF" w:rsidRPr="00A9055F" w:rsidRDefault="00B064FF" w:rsidP="002027E4">
      <w:pPr>
        <w:spacing w:after="0" w:line="276" w:lineRule="auto"/>
        <w:jc w:val="both"/>
        <w:rPr>
          <w:rFonts w:cstheme="minorHAnsi"/>
          <w:sz w:val="24"/>
          <w:szCs w:val="24"/>
        </w:rPr>
      </w:pPr>
    </w:p>
    <w:p w14:paraId="54EDCB26" w14:textId="77777777" w:rsidR="00A9055F" w:rsidRPr="00033447" w:rsidRDefault="00256139" w:rsidP="00033447">
      <w:pPr>
        <w:spacing w:after="0" w:line="276" w:lineRule="auto"/>
        <w:jc w:val="center"/>
        <w:rPr>
          <w:rFonts w:cstheme="minorHAnsi"/>
          <w:b/>
          <w:bCs/>
          <w:sz w:val="24"/>
          <w:szCs w:val="24"/>
        </w:rPr>
      </w:pPr>
      <w:r w:rsidRPr="00A9055F">
        <w:rPr>
          <w:rFonts w:cstheme="minorHAnsi"/>
          <w:b/>
          <w:bCs/>
          <w:sz w:val="24"/>
          <w:szCs w:val="24"/>
        </w:rPr>
        <w:t>---ENDS---</w:t>
      </w:r>
    </w:p>
    <w:p w14:paraId="7D244972" w14:textId="77777777" w:rsidR="000A2AD8" w:rsidRPr="001A540B" w:rsidRDefault="000A2AD8" w:rsidP="000A2AD8">
      <w:pPr>
        <w:spacing w:after="0"/>
        <w:jc w:val="both"/>
        <w:rPr>
          <w:rFonts w:eastAsia="Segoe UI Light" w:cstheme="minorHAnsi"/>
          <w:b/>
          <w:bCs/>
        </w:rPr>
      </w:pPr>
      <w:r w:rsidRPr="00670D95">
        <w:rPr>
          <w:rFonts w:eastAsia="Segoe UI Light" w:cstheme="minorHAnsi"/>
          <w:b/>
          <w:bCs/>
        </w:rPr>
        <w:t xml:space="preserve">About </w:t>
      </w:r>
      <w:proofErr w:type="spellStart"/>
      <w:r w:rsidRPr="00670D95">
        <w:rPr>
          <w:rFonts w:cstheme="minorHAnsi"/>
          <w:b/>
          <w:bCs/>
        </w:rPr>
        <w:t>Lulo</w:t>
      </w:r>
      <w:proofErr w:type="spellEnd"/>
      <w:r w:rsidRPr="00670D95">
        <w:rPr>
          <w:rFonts w:cstheme="minorHAnsi"/>
          <w:b/>
          <w:bCs/>
        </w:rPr>
        <w:t xml:space="preserve"> Bank </w:t>
      </w:r>
    </w:p>
    <w:p w14:paraId="7422A5B4" w14:textId="77777777" w:rsidR="000A2AD8" w:rsidRDefault="000A2AD8" w:rsidP="000A2AD8">
      <w:pPr>
        <w:spacing w:after="0"/>
        <w:rPr>
          <w:rFonts w:cstheme="minorHAnsi"/>
        </w:rPr>
      </w:pPr>
      <w:r w:rsidRPr="001A540B">
        <w:rPr>
          <w:rFonts w:cstheme="minorHAnsi"/>
        </w:rPr>
        <w:t xml:space="preserve">Founded in 2020 in Colombia, </w:t>
      </w:r>
      <w:proofErr w:type="spellStart"/>
      <w:r w:rsidRPr="001A540B">
        <w:rPr>
          <w:rFonts w:cstheme="minorHAnsi"/>
        </w:rPr>
        <w:t>Lulo</w:t>
      </w:r>
      <w:proofErr w:type="spellEnd"/>
      <w:r w:rsidRPr="001A540B">
        <w:rPr>
          <w:rFonts w:cstheme="minorHAnsi"/>
        </w:rPr>
        <w:t xml:space="preserve"> Bank is a mobile banking app that provides money transfers, savings accounts, loans, and other financial services. With more than 90% of its 400 employees working from home, </w:t>
      </w:r>
      <w:proofErr w:type="spellStart"/>
      <w:r w:rsidRPr="001A540B">
        <w:rPr>
          <w:rFonts w:cstheme="minorHAnsi"/>
        </w:rPr>
        <w:t>Lulo</w:t>
      </w:r>
      <w:proofErr w:type="spellEnd"/>
      <w:r w:rsidRPr="001A540B">
        <w:rPr>
          <w:rFonts w:cstheme="minorHAnsi"/>
        </w:rPr>
        <w:t xml:space="preserve"> Bank offers a secure &amp; free mobile banking app for banking from anywhere in the world. Formally launching in 2022, the digital bank has had impressive growth and currently serves more than 120,000 active users in the country.</w:t>
      </w:r>
    </w:p>
    <w:p w14:paraId="4197555C" w14:textId="77777777" w:rsidR="00A9055F" w:rsidRPr="00A9055F" w:rsidRDefault="00A9055F" w:rsidP="00A9055F">
      <w:pPr>
        <w:spacing w:after="0"/>
        <w:jc w:val="both"/>
        <w:rPr>
          <w:rFonts w:cstheme="minorHAnsi"/>
          <w:sz w:val="24"/>
          <w:szCs w:val="24"/>
          <w:lang w:val="en-US"/>
        </w:rPr>
      </w:pPr>
    </w:p>
    <w:p w14:paraId="65B27B1E" w14:textId="77777777" w:rsidR="00A9055F" w:rsidRPr="00A9055F" w:rsidRDefault="00256139" w:rsidP="00A9055F">
      <w:pPr>
        <w:spacing w:after="0"/>
        <w:jc w:val="both"/>
        <w:rPr>
          <w:rFonts w:eastAsia="Segoe UI Light" w:cstheme="minorHAnsi"/>
          <w:b/>
          <w:bCs/>
        </w:rPr>
      </w:pPr>
      <w:r w:rsidRPr="00A9055F">
        <w:rPr>
          <w:rFonts w:eastAsia="Segoe UI Light" w:cstheme="minorHAnsi"/>
          <w:b/>
          <w:bCs/>
        </w:rPr>
        <w:t>About International Holding Company (IHC)</w:t>
      </w:r>
    </w:p>
    <w:p w14:paraId="0B2A1FCB" w14:textId="77777777" w:rsidR="00A9055F" w:rsidRPr="00A9055F" w:rsidRDefault="00256139" w:rsidP="00A9055F">
      <w:pPr>
        <w:spacing w:after="0"/>
        <w:jc w:val="both"/>
        <w:rPr>
          <w:rFonts w:cstheme="minorHAnsi"/>
        </w:rPr>
      </w:pPr>
      <w:r w:rsidRPr="00A9055F">
        <w:rPr>
          <w:rFonts w:cstheme="minorHAnsi"/>
        </w:rPr>
        <w:t xml:space="preserve">IHC was founded in 1998 as part of an initiative to diversify and </w:t>
      </w:r>
      <w:r w:rsidRPr="00A9055F">
        <w:rPr>
          <w:rFonts w:eastAsia="Times New Roman" w:cstheme="minorHAnsi"/>
        </w:rPr>
        <w:t>develop</w:t>
      </w:r>
      <w:r w:rsidRPr="00A9055F">
        <w:rPr>
          <w:rFonts w:cstheme="minorHAnsi"/>
        </w:rPr>
        <w:t xml:space="preserve"> non-oil business sectors in the UAE</w:t>
      </w:r>
      <w:r w:rsidRPr="00A9055F">
        <w:rPr>
          <w:rFonts w:eastAsia="Times New Roman" w:cstheme="minorHAnsi"/>
        </w:rPr>
        <w:t xml:space="preserve"> and has grown</w:t>
      </w:r>
      <w:r w:rsidRPr="00A9055F">
        <w:rPr>
          <w:rFonts w:cstheme="minorHAnsi"/>
        </w:rPr>
        <w:t xml:space="preserve"> to </w:t>
      </w:r>
      <w:r w:rsidRPr="00A9055F">
        <w:rPr>
          <w:rFonts w:eastAsia="Times New Roman" w:cstheme="minorHAnsi"/>
        </w:rPr>
        <w:t>become</w:t>
      </w:r>
      <w:r w:rsidRPr="00A9055F">
        <w:rPr>
          <w:rFonts w:cstheme="minorHAnsi"/>
        </w:rPr>
        <w:t xml:space="preserve"> the </w:t>
      </w:r>
      <w:r w:rsidRPr="00A9055F">
        <w:rPr>
          <w:rFonts w:eastAsia="Times New Roman" w:cstheme="minorHAnsi"/>
        </w:rPr>
        <w:t>most valuable</w:t>
      </w:r>
      <w:r w:rsidRPr="00A9055F">
        <w:rPr>
          <w:rFonts w:cstheme="minorHAnsi"/>
        </w:rPr>
        <w:t xml:space="preserve"> listed</w:t>
      </w:r>
      <w:r w:rsidRPr="00A9055F">
        <w:rPr>
          <w:rFonts w:eastAsia="Times New Roman" w:cstheme="minorHAnsi"/>
        </w:rPr>
        <w:t xml:space="preserve"> holding company in the Middle East </w:t>
      </w:r>
      <w:r w:rsidRPr="00A9055F">
        <w:rPr>
          <w:rFonts w:eastAsia="Times New Roman" w:cstheme="minorHAnsi"/>
          <w:lang w:val="en-US"/>
        </w:rPr>
        <w:t xml:space="preserve">with a market cap of </w:t>
      </w:r>
      <w:r w:rsidR="00F9633C">
        <w:rPr>
          <w:rFonts w:eastAsia="Times New Roman" w:cstheme="minorHAnsi"/>
          <w:b/>
          <w:bCs/>
          <w:lang w:val="en-US"/>
        </w:rPr>
        <w:t xml:space="preserve">AED </w:t>
      </w:r>
      <w:r w:rsidR="00AA732D">
        <w:rPr>
          <w:rFonts w:eastAsia="Times New Roman" w:cstheme="minorHAnsi"/>
          <w:b/>
          <w:bCs/>
          <w:lang w:val="en-US"/>
        </w:rPr>
        <w:t xml:space="preserve">619 </w:t>
      </w:r>
      <w:r w:rsidRPr="00A9055F">
        <w:rPr>
          <w:rFonts w:eastAsia="Times New Roman" w:cstheme="minorHAnsi"/>
          <w:b/>
          <w:bCs/>
          <w:lang w:val="en-US"/>
        </w:rPr>
        <w:t>billion as of 30 June 2022</w:t>
      </w:r>
      <w:r w:rsidRPr="00A9055F">
        <w:rPr>
          <w:rFonts w:eastAsia="Times New Roman" w:cstheme="minorHAnsi"/>
          <w:b/>
          <w:bCs/>
        </w:rPr>
        <w:t>.</w:t>
      </w:r>
      <w:r w:rsidRPr="00A9055F">
        <w:rPr>
          <w:rFonts w:eastAsia="Times New Roman" w:cstheme="minorHAnsi"/>
        </w:rPr>
        <w:t xml:space="preserve"> The</w:t>
      </w:r>
      <w:r w:rsidRPr="00A9055F">
        <w:rPr>
          <w:rFonts w:cstheme="minorHAnsi"/>
        </w:rPr>
        <w:t xml:space="preserve"> company endeavors to implement sustainability, innovation, and economic diversification initiatives across what is now one of the region's largest conglomerates. IHC is included in FTSE ADX 15 Index (FADX 15), representing the top 15 largest and most liquid companies on the ADX.</w:t>
      </w:r>
    </w:p>
    <w:p w14:paraId="6A1265D1" w14:textId="77777777" w:rsidR="00A9055F" w:rsidRPr="00A9055F" w:rsidRDefault="00A9055F" w:rsidP="00A9055F">
      <w:pPr>
        <w:spacing w:after="0"/>
        <w:jc w:val="both"/>
        <w:rPr>
          <w:rFonts w:eastAsia="Segoe UI Light" w:cstheme="minorHAnsi"/>
        </w:rPr>
      </w:pPr>
    </w:p>
    <w:p w14:paraId="5ED8F02B" w14:textId="77777777" w:rsidR="00A9055F" w:rsidRPr="00A9055F" w:rsidRDefault="00256139" w:rsidP="00A9055F">
      <w:pPr>
        <w:spacing w:after="0"/>
        <w:jc w:val="both"/>
        <w:rPr>
          <w:rFonts w:eastAsia="Segoe UI Light" w:cstheme="minorHAnsi"/>
        </w:rPr>
      </w:pPr>
      <w:r w:rsidRPr="00A9055F">
        <w:rPr>
          <w:rFonts w:eastAsia="Segoe UI Light" w:cstheme="minorHAnsi"/>
        </w:rPr>
        <w:t xml:space="preserve">IHC has a clear objective of enhancing its portfolio through acquisitions, strategic investments, and business combinations. Comprising more than </w:t>
      </w:r>
      <w:r w:rsidR="00434180" w:rsidRPr="00EB40DB">
        <w:rPr>
          <w:rFonts w:eastAsia="Segoe UI Light" w:cstheme="minorHAnsi"/>
          <w:b/>
          <w:bCs/>
        </w:rPr>
        <w:t>372</w:t>
      </w:r>
      <w:r w:rsidRPr="00EB40DB">
        <w:rPr>
          <w:rFonts w:eastAsia="Segoe UI Light" w:cstheme="minorHAnsi"/>
          <w:b/>
          <w:bCs/>
        </w:rPr>
        <w:t xml:space="preserve"> entities</w:t>
      </w:r>
      <w:r w:rsidRPr="00A9055F">
        <w:rPr>
          <w:rFonts w:eastAsia="Segoe UI Light" w:cstheme="minorHAnsi"/>
        </w:rPr>
        <w:t xml:space="preserve"> and </w:t>
      </w:r>
      <w:r w:rsidRPr="00A9055F">
        <w:rPr>
          <w:rFonts w:eastAsia="Times New Roman" w:cstheme="minorHAnsi"/>
          <w:b/>
          <w:bCs/>
          <w:lang w:val="en-US"/>
        </w:rPr>
        <w:t>52,345 employees</w:t>
      </w:r>
      <w:r w:rsidRPr="00A9055F">
        <w:rPr>
          <w:rFonts w:eastAsia="Times New Roman" w:cstheme="minorHAnsi"/>
          <w:lang w:val="en-US"/>
        </w:rPr>
        <w:t>,</w:t>
      </w:r>
      <w:r w:rsidRPr="00A9055F">
        <w:rPr>
          <w:rFonts w:eastAsia="Segoe UI Light" w:cstheme="minorHAnsi"/>
        </w:rPr>
        <w:t xml:space="preserve"> IHC seeks to expand and diversify its holdings across a growing number of sectors, including Real Estate, Agriculture, Healthcare, Food and Beverage, Utilities, Industries, I.T. and Communications, Retail and Leisure, and Capital.</w:t>
      </w:r>
    </w:p>
    <w:p w14:paraId="43829B61" w14:textId="77777777" w:rsidR="00A9055F" w:rsidRPr="00A9055F" w:rsidRDefault="00A9055F" w:rsidP="00A9055F">
      <w:pPr>
        <w:spacing w:after="0"/>
        <w:jc w:val="both"/>
        <w:rPr>
          <w:rFonts w:eastAsia="Segoe UI Light" w:cstheme="minorHAnsi"/>
        </w:rPr>
      </w:pPr>
    </w:p>
    <w:p w14:paraId="161C3845" w14:textId="77777777" w:rsidR="000A2AD8" w:rsidRDefault="000A2AD8" w:rsidP="00A9055F">
      <w:pPr>
        <w:spacing w:after="0"/>
        <w:jc w:val="both"/>
        <w:rPr>
          <w:rFonts w:eastAsia="Segoe UI Light" w:cstheme="minorHAnsi"/>
        </w:rPr>
      </w:pPr>
    </w:p>
    <w:p w14:paraId="573D0303" w14:textId="77777777" w:rsidR="000A2AD8" w:rsidRDefault="000A2AD8" w:rsidP="00A9055F">
      <w:pPr>
        <w:spacing w:after="0"/>
        <w:jc w:val="both"/>
        <w:rPr>
          <w:rFonts w:eastAsia="Segoe UI Light" w:cstheme="minorHAnsi"/>
        </w:rPr>
      </w:pPr>
    </w:p>
    <w:p w14:paraId="048FB873" w14:textId="53A760E5" w:rsidR="00A9055F" w:rsidRDefault="00256139" w:rsidP="00A9055F">
      <w:pPr>
        <w:spacing w:after="0"/>
        <w:jc w:val="both"/>
        <w:rPr>
          <w:rFonts w:eastAsia="Segoe UI Light" w:cstheme="minorHAnsi"/>
        </w:rPr>
      </w:pPr>
      <w:r w:rsidRPr="00A9055F">
        <w:rPr>
          <w:rFonts w:eastAsia="Segoe UI Light" w:cstheme="minorHAnsi"/>
        </w:rPr>
        <w:lastRenderedPageBreak/>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p w14:paraId="1AA1B6E1" w14:textId="48F18671" w:rsidR="005458A4" w:rsidRDefault="005458A4" w:rsidP="00A9055F">
      <w:pPr>
        <w:spacing w:after="0"/>
        <w:jc w:val="both"/>
        <w:rPr>
          <w:rFonts w:eastAsia="Segoe UI Light" w:cstheme="minorHAnsi"/>
        </w:rPr>
      </w:pPr>
    </w:p>
    <w:p w14:paraId="0FABDD9B" w14:textId="77777777" w:rsidR="00C368D5" w:rsidRDefault="00C368D5" w:rsidP="00A9055F">
      <w:pPr>
        <w:spacing w:after="0"/>
        <w:rPr>
          <w:rFonts w:cstheme="minorHAnsi"/>
        </w:rPr>
      </w:pPr>
    </w:p>
    <w:p w14:paraId="7EEDF739" w14:textId="4F6138A8" w:rsidR="00A9055F" w:rsidRPr="00C368D5" w:rsidRDefault="00256139" w:rsidP="00C368D5">
      <w:pPr>
        <w:spacing w:after="0"/>
        <w:rPr>
          <w:rFonts w:eastAsia="Segoe UI Light" w:cstheme="minorHAnsi"/>
          <w:b/>
          <w:bCs/>
        </w:rPr>
      </w:pPr>
      <w:r w:rsidRPr="00A9055F">
        <w:rPr>
          <w:rFonts w:eastAsia="Segoe UI Light" w:cstheme="minorHAnsi"/>
          <w:b/>
          <w:bCs/>
        </w:rPr>
        <w:t>Media Contacts:</w:t>
      </w:r>
    </w:p>
    <w:p w14:paraId="0A323F65" w14:textId="77777777" w:rsidR="00A9055F" w:rsidRPr="003700DF" w:rsidRDefault="00256139" w:rsidP="00A9055F">
      <w:pPr>
        <w:spacing w:after="0"/>
        <w:jc w:val="both"/>
        <w:rPr>
          <w:rFonts w:eastAsia="Segoe UI Light" w:cstheme="minorHAnsi"/>
          <w:b/>
          <w:bCs/>
          <w:sz w:val="18"/>
          <w:szCs w:val="18"/>
        </w:rPr>
      </w:pPr>
      <w:r w:rsidRPr="003700DF">
        <w:rPr>
          <w:rFonts w:eastAsia="Segoe UI Light" w:cstheme="minorHAnsi"/>
          <w:b/>
          <w:bCs/>
          <w:sz w:val="18"/>
          <w:szCs w:val="18"/>
        </w:rPr>
        <w:t xml:space="preserve">Ahmad Ibrahim </w:t>
      </w:r>
    </w:p>
    <w:p w14:paraId="44B6B891" w14:textId="77777777" w:rsidR="00A9055F" w:rsidRPr="003700DF" w:rsidRDefault="00256139" w:rsidP="00A9055F">
      <w:pPr>
        <w:spacing w:after="0"/>
        <w:jc w:val="both"/>
        <w:rPr>
          <w:rFonts w:eastAsia="Segoe UI Light" w:cstheme="minorHAnsi"/>
          <w:sz w:val="18"/>
          <w:szCs w:val="18"/>
        </w:rPr>
      </w:pPr>
      <w:r w:rsidRPr="003700DF">
        <w:rPr>
          <w:rFonts w:eastAsia="Segoe UI Light" w:cstheme="minorHAnsi"/>
          <w:color w:val="001432" w:themeColor="text1"/>
          <w:sz w:val="18"/>
          <w:szCs w:val="18"/>
        </w:rPr>
        <w:t xml:space="preserve">Head of Marketing and Corporate Communication </w:t>
      </w:r>
    </w:p>
    <w:p w14:paraId="30D37954" w14:textId="77777777" w:rsidR="00A9055F" w:rsidRPr="003700DF" w:rsidRDefault="00256139" w:rsidP="00A9055F">
      <w:pPr>
        <w:spacing w:after="0"/>
        <w:jc w:val="both"/>
        <w:rPr>
          <w:rFonts w:eastAsia="Segoe UI Light" w:cstheme="minorHAnsi"/>
          <w:sz w:val="18"/>
          <w:szCs w:val="18"/>
        </w:rPr>
      </w:pPr>
      <w:r w:rsidRPr="003700DF">
        <w:rPr>
          <w:rFonts w:eastAsia="Segoe UI Light" w:cstheme="minorHAnsi"/>
          <w:sz w:val="18"/>
          <w:szCs w:val="18"/>
        </w:rPr>
        <w:t xml:space="preserve">International Holding Company </w:t>
      </w:r>
    </w:p>
    <w:p w14:paraId="3BE25F83" w14:textId="77777777" w:rsidR="002027E4" w:rsidRPr="002E0079" w:rsidRDefault="00BA4B48" w:rsidP="0073747C">
      <w:pPr>
        <w:spacing w:line="276" w:lineRule="auto"/>
        <w:jc w:val="both"/>
        <w:rPr>
          <w:rFonts w:eastAsia="Segoe UI Light" w:cstheme="minorHAnsi"/>
          <w:sz w:val="18"/>
          <w:szCs w:val="18"/>
          <w:lang w:val="en-US"/>
        </w:rPr>
      </w:pPr>
      <w:hyperlink r:id="rId11" w:history="1">
        <w:r w:rsidR="00AD1F78" w:rsidRPr="003700DF">
          <w:rPr>
            <w:rStyle w:val="Hyperlink"/>
            <w:rFonts w:eastAsia="Segoe UI Light" w:cstheme="minorHAnsi"/>
            <w:color w:val="auto"/>
            <w:sz w:val="18"/>
            <w:szCs w:val="18"/>
          </w:rPr>
          <w:t>ahmad.ibrahim@ihcuae.com</w:t>
        </w:r>
      </w:hyperlink>
      <w:bookmarkEnd w:id="0"/>
    </w:p>
    <w:sectPr w:rsidR="002027E4" w:rsidRPr="002E0079" w:rsidSect="00084C98">
      <w:headerReference w:type="default" r:id="rId12"/>
      <w:footerReference w:type="default" r:id="rId13"/>
      <w:headerReference w:type="first" r:id="rId14"/>
      <w:footerReference w:type="first" r:id="rId15"/>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545D" w14:textId="77777777" w:rsidR="00BA4B48" w:rsidRDefault="00BA4B48">
      <w:pPr>
        <w:spacing w:after="0"/>
      </w:pPr>
      <w:r>
        <w:separator/>
      </w:r>
    </w:p>
  </w:endnote>
  <w:endnote w:type="continuationSeparator" w:id="0">
    <w:p w14:paraId="02D81062" w14:textId="77777777" w:rsidR="00BA4B48" w:rsidRDefault="00BA4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BA4B48"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BA4B48"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E36F" w14:textId="77777777" w:rsidR="00BA4B48" w:rsidRDefault="00BA4B48">
      <w:pPr>
        <w:spacing w:after="0"/>
      </w:pPr>
      <w:r>
        <w:separator/>
      </w:r>
    </w:p>
  </w:footnote>
  <w:footnote w:type="continuationSeparator" w:id="0">
    <w:p w14:paraId="0418F407" w14:textId="77777777" w:rsidR="00BA4B48" w:rsidRDefault="00BA4B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0746" w14:textId="77777777" w:rsidR="00033447" w:rsidRDefault="00033447" w:rsidP="004C182C">
    <w:pPr>
      <w:spacing w:after="0"/>
      <w:jc w:val="right"/>
      <w:rPr>
        <w:sz w:val="28"/>
        <w:szCs w:val="28"/>
      </w:rPr>
    </w:pPr>
  </w:p>
  <w:p w14:paraId="7113F42D" w14:textId="77777777" w:rsidR="004C182C" w:rsidRDefault="00256139" w:rsidP="004C182C">
    <w:pPr>
      <w:spacing w:after="0"/>
      <w:jc w:val="right"/>
      <w:rPr>
        <w:sz w:val="28"/>
        <w:szCs w:val="28"/>
      </w:rPr>
    </w:pPr>
    <w:r>
      <w:rPr>
        <w:noProof/>
        <w:lang w:val="en-US"/>
      </w:rPr>
      <w:drawing>
        <wp:anchor distT="0" distB="0" distL="114300" distR="114300" simplePos="0" relativeHeight="251659264" behindDoc="0" locked="0" layoutInCell="1" allowOverlap="1" wp14:anchorId="5DD1A124" wp14:editId="4E1FD458">
          <wp:simplePos x="0" y="0"/>
          <wp:positionH relativeFrom="column">
            <wp:posOffset>4572000</wp:posOffset>
          </wp:positionH>
          <wp:positionV relativeFrom="paragraph">
            <wp:posOffset>-355600</wp:posOffset>
          </wp:positionV>
          <wp:extent cx="799179" cy="8509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8B43FB" w14:textId="77777777" w:rsidR="004C182C" w:rsidRDefault="004C182C" w:rsidP="004C182C">
    <w:pPr>
      <w:spacing w:after="0"/>
      <w:jc w:val="right"/>
      <w:rPr>
        <w:sz w:val="28"/>
        <w:szCs w:val="28"/>
      </w:rPr>
    </w:pPr>
  </w:p>
  <w:p w14:paraId="6ABBC1BB" w14:textId="77777777" w:rsidR="004C182C" w:rsidRPr="00362A9C" w:rsidRDefault="00256139" w:rsidP="004C182C">
    <w:pPr>
      <w:spacing w:after="0"/>
      <w:jc w:val="right"/>
      <w:rPr>
        <w:sz w:val="28"/>
        <w:szCs w:val="28"/>
      </w:rPr>
    </w:pPr>
    <w:r w:rsidRPr="00E103D0">
      <w:rPr>
        <w:sz w:val="28"/>
        <w:szCs w:val="28"/>
      </w:rPr>
      <w:t>PRESS RELEASE</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BE7" w14:textId="77777777" w:rsidR="009E3A37" w:rsidRDefault="00256139" w:rsidP="00A4291C">
    <w:pPr>
      <w:jc w:val="right"/>
      <w:rPr>
        <w:sz w:val="28"/>
        <w:szCs w:val="28"/>
      </w:rPr>
    </w:pPr>
    <w:r>
      <w:rPr>
        <w:noProof/>
        <w:lang w:val="en-US"/>
      </w:rPr>
      <w:drawing>
        <wp:anchor distT="0" distB="0" distL="114300" distR="114300" simplePos="0" relativeHeight="251658240" behindDoc="0" locked="0" layoutInCell="1" allowOverlap="1" wp14:anchorId="36220DE2" wp14:editId="537B6FBE">
          <wp:simplePos x="0" y="0"/>
          <wp:positionH relativeFrom="column">
            <wp:posOffset>4743450</wp:posOffset>
          </wp:positionH>
          <wp:positionV relativeFrom="paragraph">
            <wp:posOffset>158750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2761ED81" w14:textId="77777777" w:rsidR="00893E7F" w:rsidRDefault="00893E7F" w:rsidP="002953E3">
    <w:pPr>
      <w:spacing w:after="0"/>
      <w:jc w:val="right"/>
      <w:rPr>
        <w:sz w:val="28"/>
        <w:szCs w:val="28"/>
      </w:rPr>
    </w:pPr>
  </w:p>
  <w:p w14:paraId="72E12682" w14:textId="77777777" w:rsidR="00893E7F" w:rsidRDefault="00893E7F" w:rsidP="002953E3">
    <w:pPr>
      <w:spacing w:after="0"/>
      <w:jc w:val="right"/>
      <w:rPr>
        <w:sz w:val="28"/>
        <w:szCs w:val="28"/>
      </w:rPr>
    </w:pPr>
  </w:p>
  <w:p w14:paraId="428F2F5B" w14:textId="77777777" w:rsidR="00893E7F" w:rsidRDefault="00893E7F" w:rsidP="002953E3">
    <w:pPr>
      <w:spacing w:after="0"/>
      <w:jc w:val="right"/>
      <w:rPr>
        <w:sz w:val="28"/>
        <w:szCs w:val="28"/>
      </w:rPr>
    </w:pPr>
  </w:p>
  <w:p w14:paraId="0A187FB7" w14:textId="77777777" w:rsidR="00EB56B2" w:rsidRPr="00B91029" w:rsidRDefault="00256139" w:rsidP="002953E3">
    <w:pPr>
      <w:spacing w:after="0"/>
      <w:jc w:val="right"/>
      <w:rPr>
        <w:rFonts w:ascii="Arial" w:hAnsi="Arial" w:cs="Arial"/>
        <w:sz w:val="24"/>
        <w:szCs w:val="24"/>
      </w:rPr>
    </w:pPr>
    <w:r w:rsidRPr="00B91029">
      <w:rPr>
        <w:rFonts w:ascii="Arial" w:hAnsi="Arial" w:cs="Arial"/>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4"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5"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6"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3"/>
  </w:num>
  <w:num w:numId="2" w16cid:durableId="398936">
    <w:abstractNumId w:val="5"/>
  </w:num>
  <w:num w:numId="3" w16cid:durableId="556935256">
    <w:abstractNumId w:val="6"/>
  </w:num>
  <w:num w:numId="4" w16cid:durableId="432171973">
    <w:abstractNumId w:val="0"/>
  </w:num>
  <w:num w:numId="5" w16cid:durableId="1130710609">
    <w:abstractNumId w:val="4"/>
  </w:num>
  <w:num w:numId="6" w16cid:durableId="1232882871">
    <w:abstractNumId w:val="1"/>
  </w:num>
  <w:num w:numId="7" w16cid:durableId="5863818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3E5E"/>
    <w:rsid w:val="00024D99"/>
    <w:rsid w:val="00025AF8"/>
    <w:rsid w:val="00026A2A"/>
    <w:rsid w:val="00030C35"/>
    <w:rsid w:val="000327B7"/>
    <w:rsid w:val="00032AA5"/>
    <w:rsid w:val="00033447"/>
    <w:rsid w:val="0003539E"/>
    <w:rsid w:val="00036CE6"/>
    <w:rsid w:val="000401E8"/>
    <w:rsid w:val="0004131A"/>
    <w:rsid w:val="0004197F"/>
    <w:rsid w:val="00041A8B"/>
    <w:rsid w:val="000452BD"/>
    <w:rsid w:val="00045AA5"/>
    <w:rsid w:val="0004614C"/>
    <w:rsid w:val="00046B03"/>
    <w:rsid w:val="0004780F"/>
    <w:rsid w:val="000520EE"/>
    <w:rsid w:val="00052B6B"/>
    <w:rsid w:val="00054202"/>
    <w:rsid w:val="00060862"/>
    <w:rsid w:val="000662D1"/>
    <w:rsid w:val="0006686B"/>
    <w:rsid w:val="000724A1"/>
    <w:rsid w:val="000729DD"/>
    <w:rsid w:val="00076012"/>
    <w:rsid w:val="00077544"/>
    <w:rsid w:val="00082705"/>
    <w:rsid w:val="0008350A"/>
    <w:rsid w:val="00084C98"/>
    <w:rsid w:val="00085423"/>
    <w:rsid w:val="00092828"/>
    <w:rsid w:val="00094DEA"/>
    <w:rsid w:val="00097052"/>
    <w:rsid w:val="000A2861"/>
    <w:rsid w:val="000A2AD8"/>
    <w:rsid w:val="000A3DB2"/>
    <w:rsid w:val="000A4EE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7895"/>
    <w:rsid w:val="00126841"/>
    <w:rsid w:val="0013090E"/>
    <w:rsid w:val="00130D65"/>
    <w:rsid w:val="00131AA0"/>
    <w:rsid w:val="00140636"/>
    <w:rsid w:val="00144F6A"/>
    <w:rsid w:val="001450E9"/>
    <w:rsid w:val="001505CA"/>
    <w:rsid w:val="00151CA2"/>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237"/>
    <w:rsid w:val="001903B5"/>
    <w:rsid w:val="00192ABC"/>
    <w:rsid w:val="001943AE"/>
    <w:rsid w:val="00195A52"/>
    <w:rsid w:val="0019625A"/>
    <w:rsid w:val="001A540B"/>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88D"/>
    <w:rsid w:val="002E0079"/>
    <w:rsid w:val="002E0BA1"/>
    <w:rsid w:val="002E3419"/>
    <w:rsid w:val="002E4322"/>
    <w:rsid w:val="002E56FC"/>
    <w:rsid w:val="002E6BA7"/>
    <w:rsid w:val="002F1576"/>
    <w:rsid w:val="002F2072"/>
    <w:rsid w:val="002F3301"/>
    <w:rsid w:val="002F344F"/>
    <w:rsid w:val="002F361D"/>
    <w:rsid w:val="002F4744"/>
    <w:rsid w:val="002F77D1"/>
    <w:rsid w:val="0030003E"/>
    <w:rsid w:val="003072EB"/>
    <w:rsid w:val="00311E09"/>
    <w:rsid w:val="00315AD6"/>
    <w:rsid w:val="0031740E"/>
    <w:rsid w:val="00317CD6"/>
    <w:rsid w:val="003201CA"/>
    <w:rsid w:val="0032115F"/>
    <w:rsid w:val="00321C35"/>
    <w:rsid w:val="00324C2F"/>
    <w:rsid w:val="003274F5"/>
    <w:rsid w:val="00332013"/>
    <w:rsid w:val="00332615"/>
    <w:rsid w:val="00332724"/>
    <w:rsid w:val="00340282"/>
    <w:rsid w:val="00340BA1"/>
    <w:rsid w:val="003410D1"/>
    <w:rsid w:val="00341ED1"/>
    <w:rsid w:val="003438AD"/>
    <w:rsid w:val="00343A32"/>
    <w:rsid w:val="00343EA7"/>
    <w:rsid w:val="00344DE1"/>
    <w:rsid w:val="00345DF9"/>
    <w:rsid w:val="00345F64"/>
    <w:rsid w:val="0034771F"/>
    <w:rsid w:val="003528CB"/>
    <w:rsid w:val="00353DBF"/>
    <w:rsid w:val="003577BF"/>
    <w:rsid w:val="00360B03"/>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6F6C"/>
    <w:rsid w:val="003B7E20"/>
    <w:rsid w:val="003C0FF7"/>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4531"/>
    <w:rsid w:val="004246F4"/>
    <w:rsid w:val="00430826"/>
    <w:rsid w:val="00431213"/>
    <w:rsid w:val="00434180"/>
    <w:rsid w:val="004357AF"/>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31AE"/>
    <w:rsid w:val="005332AD"/>
    <w:rsid w:val="00533485"/>
    <w:rsid w:val="005338EE"/>
    <w:rsid w:val="00533FFC"/>
    <w:rsid w:val="00537D31"/>
    <w:rsid w:val="00540B3F"/>
    <w:rsid w:val="00543EB4"/>
    <w:rsid w:val="00545372"/>
    <w:rsid w:val="005458A4"/>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B3585"/>
    <w:rsid w:val="005D17D9"/>
    <w:rsid w:val="005D4C39"/>
    <w:rsid w:val="005D695D"/>
    <w:rsid w:val="005E0949"/>
    <w:rsid w:val="005E24EC"/>
    <w:rsid w:val="005E5D68"/>
    <w:rsid w:val="005F3DFE"/>
    <w:rsid w:val="005F5362"/>
    <w:rsid w:val="005F64C6"/>
    <w:rsid w:val="005F7AD0"/>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5DB"/>
    <w:rsid w:val="006329F3"/>
    <w:rsid w:val="00633B3B"/>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3ED7"/>
    <w:rsid w:val="006859FA"/>
    <w:rsid w:val="00686A44"/>
    <w:rsid w:val="006946C2"/>
    <w:rsid w:val="006A271B"/>
    <w:rsid w:val="006A5E17"/>
    <w:rsid w:val="006A644B"/>
    <w:rsid w:val="006B0058"/>
    <w:rsid w:val="006B1176"/>
    <w:rsid w:val="006B296C"/>
    <w:rsid w:val="006B2C0F"/>
    <w:rsid w:val="006B3B42"/>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F18BF"/>
    <w:rsid w:val="006F2413"/>
    <w:rsid w:val="006F2E51"/>
    <w:rsid w:val="006F373F"/>
    <w:rsid w:val="006F7247"/>
    <w:rsid w:val="00703811"/>
    <w:rsid w:val="00703EA3"/>
    <w:rsid w:val="00703FF7"/>
    <w:rsid w:val="007051A3"/>
    <w:rsid w:val="007052BC"/>
    <w:rsid w:val="00705CAE"/>
    <w:rsid w:val="00707677"/>
    <w:rsid w:val="007077FB"/>
    <w:rsid w:val="007105AD"/>
    <w:rsid w:val="0071291E"/>
    <w:rsid w:val="0071332A"/>
    <w:rsid w:val="00717482"/>
    <w:rsid w:val="00720D3E"/>
    <w:rsid w:val="007226F0"/>
    <w:rsid w:val="00726669"/>
    <w:rsid w:val="0073747C"/>
    <w:rsid w:val="00740421"/>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3454"/>
    <w:rsid w:val="008058DD"/>
    <w:rsid w:val="00805BBD"/>
    <w:rsid w:val="008068B0"/>
    <w:rsid w:val="0081180D"/>
    <w:rsid w:val="008215B1"/>
    <w:rsid w:val="00825F31"/>
    <w:rsid w:val="00830023"/>
    <w:rsid w:val="008353BC"/>
    <w:rsid w:val="008378E5"/>
    <w:rsid w:val="00844CC3"/>
    <w:rsid w:val="008452DC"/>
    <w:rsid w:val="00850FB9"/>
    <w:rsid w:val="008530AE"/>
    <w:rsid w:val="00856864"/>
    <w:rsid w:val="00856CDF"/>
    <w:rsid w:val="00856F6D"/>
    <w:rsid w:val="00861941"/>
    <w:rsid w:val="0086197B"/>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35EF9"/>
    <w:rsid w:val="009361C9"/>
    <w:rsid w:val="0093630A"/>
    <w:rsid w:val="0093741E"/>
    <w:rsid w:val="00942365"/>
    <w:rsid w:val="00943578"/>
    <w:rsid w:val="0094638D"/>
    <w:rsid w:val="00947108"/>
    <w:rsid w:val="009517DE"/>
    <w:rsid w:val="00951905"/>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A4C"/>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054D"/>
    <w:rsid w:val="00A240A9"/>
    <w:rsid w:val="00A2520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3CE1"/>
    <w:rsid w:val="00A84274"/>
    <w:rsid w:val="00A9055F"/>
    <w:rsid w:val="00A9084F"/>
    <w:rsid w:val="00A9204E"/>
    <w:rsid w:val="00A932FE"/>
    <w:rsid w:val="00A9690D"/>
    <w:rsid w:val="00AA36BC"/>
    <w:rsid w:val="00AA471C"/>
    <w:rsid w:val="00AA6337"/>
    <w:rsid w:val="00AA732D"/>
    <w:rsid w:val="00AA73A4"/>
    <w:rsid w:val="00AB05F2"/>
    <w:rsid w:val="00AC0002"/>
    <w:rsid w:val="00AC516B"/>
    <w:rsid w:val="00AC5848"/>
    <w:rsid w:val="00AC5D18"/>
    <w:rsid w:val="00AC6F1A"/>
    <w:rsid w:val="00AD09F9"/>
    <w:rsid w:val="00AD0FEF"/>
    <w:rsid w:val="00AD1F78"/>
    <w:rsid w:val="00AD4D21"/>
    <w:rsid w:val="00AE2493"/>
    <w:rsid w:val="00AE27D8"/>
    <w:rsid w:val="00AE381C"/>
    <w:rsid w:val="00AE7A2C"/>
    <w:rsid w:val="00AF51EA"/>
    <w:rsid w:val="00B00902"/>
    <w:rsid w:val="00B017C6"/>
    <w:rsid w:val="00B049D9"/>
    <w:rsid w:val="00B064FF"/>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9EB"/>
    <w:rsid w:val="00B876F2"/>
    <w:rsid w:val="00B91029"/>
    <w:rsid w:val="00B936F6"/>
    <w:rsid w:val="00B9523A"/>
    <w:rsid w:val="00B97A82"/>
    <w:rsid w:val="00BA3A8E"/>
    <w:rsid w:val="00BA3B89"/>
    <w:rsid w:val="00BA47D6"/>
    <w:rsid w:val="00BA4B48"/>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E02A3"/>
    <w:rsid w:val="00BE1A46"/>
    <w:rsid w:val="00BE227E"/>
    <w:rsid w:val="00BE64D4"/>
    <w:rsid w:val="00BE7240"/>
    <w:rsid w:val="00BF07CE"/>
    <w:rsid w:val="00BF08F4"/>
    <w:rsid w:val="00BF126B"/>
    <w:rsid w:val="00BF2712"/>
    <w:rsid w:val="00BF4CCD"/>
    <w:rsid w:val="00BF77FE"/>
    <w:rsid w:val="00BF7AA6"/>
    <w:rsid w:val="00C001C8"/>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68D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C15"/>
    <w:rsid w:val="00D0027D"/>
    <w:rsid w:val="00D00B19"/>
    <w:rsid w:val="00D022E3"/>
    <w:rsid w:val="00D03470"/>
    <w:rsid w:val="00D07AC6"/>
    <w:rsid w:val="00D10DE3"/>
    <w:rsid w:val="00D1241F"/>
    <w:rsid w:val="00D13B4E"/>
    <w:rsid w:val="00D13F9A"/>
    <w:rsid w:val="00D16E7A"/>
    <w:rsid w:val="00D21B39"/>
    <w:rsid w:val="00D221CA"/>
    <w:rsid w:val="00D2370B"/>
    <w:rsid w:val="00D23772"/>
    <w:rsid w:val="00D26C40"/>
    <w:rsid w:val="00D3230B"/>
    <w:rsid w:val="00D347B1"/>
    <w:rsid w:val="00D35610"/>
    <w:rsid w:val="00D36835"/>
    <w:rsid w:val="00D405A1"/>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A20"/>
    <w:rsid w:val="00D83F02"/>
    <w:rsid w:val="00D85C4E"/>
    <w:rsid w:val="00D87509"/>
    <w:rsid w:val="00D91CB3"/>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E5E"/>
    <w:rsid w:val="00DB657C"/>
    <w:rsid w:val="00DB6C4A"/>
    <w:rsid w:val="00DC2731"/>
    <w:rsid w:val="00DD43DA"/>
    <w:rsid w:val="00DD4DE2"/>
    <w:rsid w:val="00DE0D50"/>
    <w:rsid w:val="00DE28BC"/>
    <w:rsid w:val="00DE3904"/>
    <w:rsid w:val="00DF0C7C"/>
    <w:rsid w:val="00DF1D86"/>
    <w:rsid w:val="00DF2FDA"/>
    <w:rsid w:val="00DF4ED7"/>
    <w:rsid w:val="00DF6212"/>
    <w:rsid w:val="00DF6D3F"/>
    <w:rsid w:val="00DF7AE9"/>
    <w:rsid w:val="00E00283"/>
    <w:rsid w:val="00E05FD2"/>
    <w:rsid w:val="00E060A2"/>
    <w:rsid w:val="00E071FF"/>
    <w:rsid w:val="00E07646"/>
    <w:rsid w:val="00E1025E"/>
    <w:rsid w:val="00E103D0"/>
    <w:rsid w:val="00E13770"/>
    <w:rsid w:val="00E17C50"/>
    <w:rsid w:val="00E207C2"/>
    <w:rsid w:val="00E23D2C"/>
    <w:rsid w:val="00E24E7D"/>
    <w:rsid w:val="00E25646"/>
    <w:rsid w:val="00E33C32"/>
    <w:rsid w:val="00E4214E"/>
    <w:rsid w:val="00E46C66"/>
    <w:rsid w:val="00E47374"/>
    <w:rsid w:val="00E500DF"/>
    <w:rsid w:val="00E511EC"/>
    <w:rsid w:val="00E51CE0"/>
    <w:rsid w:val="00E52448"/>
    <w:rsid w:val="00E55F40"/>
    <w:rsid w:val="00E56020"/>
    <w:rsid w:val="00E5696B"/>
    <w:rsid w:val="00E666B7"/>
    <w:rsid w:val="00E66844"/>
    <w:rsid w:val="00E66D22"/>
    <w:rsid w:val="00E71EE9"/>
    <w:rsid w:val="00E724F9"/>
    <w:rsid w:val="00E81321"/>
    <w:rsid w:val="00E8202C"/>
    <w:rsid w:val="00E9237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658D"/>
    <w:rsid w:val="00F626C9"/>
    <w:rsid w:val="00F62E7C"/>
    <w:rsid w:val="00F63C9A"/>
    <w:rsid w:val="00F652BF"/>
    <w:rsid w:val="00F65C79"/>
    <w:rsid w:val="00F67895"/>
    <w:rsid w:val="00F71436"/>
    <w:rsid w:val="00F77502"/>
    <w:rsid w:val="00F806AC"/>
    <w:rsid w:val="00F813AD"/>
    <w:rsid w:val="00F82460"/>
    <w:rsid w:val="00F8371F"/>
    <w:rsid w:val="00F878C8"/>
    <w:rsid w:val="00F87F0E"/>
    <w:rsid w:val="00F91077"/>
    <w:rsid w:val="00F91578"/>
    <w:rsid w:val="00F9296B"/>
    <w:rsid w:val="00F95D36"/>
    <w:rsid w:val="00F9633C"/>
    <w:rsid w:val="00FA12F1"/>
    <w:rsid w:val="00FA2613"/>
    <w:rsid w:val="00FB0C6D"/>
    <w:rsid w:val="00FB2EC8"/>
    <w:rsid w:val="00FB3329"/>
    <w:rsid w:val="00FB3ABF"/>
    <w:rsid w:val="00FB619B"/>
    <w:rsid w:val="00FB67E3"/>
    <w:rsid w:val="00FC0EC4"/>
    <w:rsid w:val="00FC511F"/>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Ahmad Ibrahim</cp:lastModifiedBy>
  <cp:revision>6</cp:revision>
  <cp:lastPrinted>2022-10-06T15:03:00Z</cp:lastPrinted>
  <dcterms:created xsi:type="dcterms:W3CDTF">2022-10-10T08:29:00Z</dcterms:created>
  <dcterms:modified xsi:type="dcterms:W3CDTF">2022-10-10T08:43:00Z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