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6DE" w:rsidRDefault="00F876DE" w:rsidP="00F876DE">
      <w:pPr>
        <w:shd w:val="clear" w:color="auto" w:fill="FFFFFF" w:themeFill="background1"/>
        <w:spacing w:after="0"/>
        <w:jc w:val="center"/>
        <w:rPr>
          <w:b/>
          <w:bCs/>
          <w:sz w:val="28"/>
          <w:szCs w:val="28"/>
        </w:rPr>
      </w:pPr>
      <w:r>
        <w:rPr>
          <w:b/>
          <w:bCs/>
          <w:sz w:val="28"/>
          <w:szCs w:val="28"/>
        </w:rPr>
        <w:t>Integrated</w:t>
      </w:r>
      <w:r w:rsidRPr="008A74A1">
        <w:rPr>
          <w:b/>
          <w:bCs/>
          <w:sz w:val="28"/>
          <w:szCs w:val="28"/>
        </w:rPr>
        <w:t xml:space="preserve"> Development and Construction </w:t>
      </w:r>
      <w:r>
        <w:rPr>
          <w:b/>
          <w:bCs/>
          <w:sz w:val="28"/>
          <w:szCs w:val="28"/>
        </w:rPr>
        <w:t xml:space="preserve">Services </w:t>
      </w:r>
      <w:proofErr w:type="gramStart"/>
      <w:r w:rsidRPr="008A74A1">
        <w:rPr>
          <w:b/>
          <w:bCs/>
          <w:sz w:val="28"/>
          <w:szCs w:val="28"/>
        </w:rPr>
        <w:t>firm</w:t>
      </w:r>
      <w:proofErr w:type="gramEnd"/>
      <w:r w:rsidRPr="00561322">
        <w:rPr>
          <w:b/>
          <w:bCs/>
          <w:sz w:val="28"/>
          <w:szCs w:val="28"/>
        </w:rPr>
        <w:t xml:space="preserve"> </w:t>
      </w:r>
      <w:r>
        <w:rPr>
          <w:b/>
          <w:bCs/>
          <w:sz w:val="28"/>
          <w:szCs w:val="28"/>
        </w:rPr>
        <w:t>Emirates Stallion Group lists on</w:t>
      </w:r>
      <w:r w:rsidRPr="00CB27F9">
        <w:rPr>
          <w:b/>
          <w:bCs/>
          <w:sz w:val="28"/>
          <w:szCs w:val="28"/>
          <w:shd w:val="clear" w:color="auto" w:fill="FFFFFF" w:themeFill="background1"/>
        </w:rPr>
        <w:t xml:space="preserve"> </w:t>
      </w:r>
      <w:r>
        <w:rPr>
          <w:b/>
          <w:bCs/>
          <w:sz w:val="28"/>
          <w:szCs w:val="28"/>
        </w:rPr>
        <w:t xml:space="preserve">Abu Dhabi Securities Exchange (ADX) </w:t>
      </w:r>
      <w:r w:rsidRPr="001B1308">
        <w:rPr>
          <w:b/>
          <w:bCs/>
          <w:sz w:val="28"/>
          <w:szCs w:val="28"/>
        </w:rPr>
        <w:t>Second Market</w:t>
      </w:r>
    </w:p>
    <w:p w:rsidR="00F876DE" w:rsidRPr="00EE434D" w:rsidRDefault="00F876DE" w:rsidP="00F876DE">
      <w:pPr>
        <w:shd w:val="clear" w:color="auto" w:fill="FFFFFF" w:themeFill="background1"/>
        <w:spacing w:after="0"/>
        <w:jc w:val="both"/>
        <w:rPr>
          <w:sz w:val="24"/>
          <w:szCs w:val="24"/>
        </w:rPr>
      </w:pPr>
    </w:p>
    <w:p w:rsidR="00F876DE" w:rsidRPr="008A4643" w:rsidRDefault="00F876DE" w:rsidP="00F876DE">
      <w:pPr>
        <w:shd w:val="clear" w:color="auto" w:fill="FFFFFF" w:themeFill="background1"/>
        <w:spacing w:after="0"/>
        <w:jc w:val="both"/>
        <w:rPr>
          <w:sz w:val="24"/>
          <w:szCs w:val="24"/>
          <w:lang w:val="en-US"/>
        </w:rPr>
      </w:pPr>
      <w:r w:rsidRPr="00561322">
        <w:rPr>
          <w:b/>
          <w:bCs/>
          <w:sz w:val="24"/>
          <w:szCs w:val="24"/>
        </w:rPr>
        <w:t>Abu Dhabi, 31 May 2021:</w:t>
      </w:r>
      <w:r w:rsidRPr="001B1308">
        <w:rPr>
          <w:b/>
          <w:bCs/>
          <w:sz w:val="24"/>
          <w:szCs w:val="24"/>
        </w:rPr>
        <w:t xml:space="preserve"> </w:t>
      </w:r>
      <w:r w:rsidRPr="004C4C49">
        <w:rPr>
          <w:sz w:val="24"/>
          <w:szCs w:val="24"/>
        </w:rPr>
        <w:t xml:space="preserve">Emirates Stallion Group, </w:t>
      </w:r>
      <w:r>
        <w:rPr>
          <w:sz w:val="24"/>
          <w:szCs w:val="24"/>
        </w:rPr>
        <w:t>a diversified investment,</w:t>
      </w:r>
      <w:r w:rsidRPr="004C4C49">
        <w:rPr>
          <w:sz w:val="24"/>
          <w:szCs w:val="24"/>
        </w:rPr>
        <w:t xml:space="preserve"> engineering</w:t>
      </w:r>
      <w:r>
        <w:rPr>
          <w:sz w:val="24"/>
          <w:szCs w:val="24"/>
        </w:rPr>
        <w:t>,</w:t>
      </w:r>
      <w:r w:rsidRPr="004C4C49">
        <w:rPr>
          <w:sz w:val="24"/>
          <w:szCs w:val="24"/>
        </w:rPr>
        <w:t xml:space="preserve"> and construction </w:t>
      </w:r>
      <w:r>
        <w:rPr>
          <w:sz w:val="24"/>
          <w:szCs w:val="24"/>
        </w:rPr>
        <w:t xml:space="preserve">services </w:t>
      </w:r>
      <w:r w:rsidRPr="004C4C49">
        <w:rPr>
          <w:sz w:val="24"/>
          <w:szCs w:val="24"/>
        </w:rPr>
        <w:t xml:space="preserve">business owned by </w:t>
      </w:r>
      <w:r w:rsidRPr="001B1308">
        <w:rPr>
          <w:sz w:val="24"/>
          <w:szCs w:val="24"/>
        </w:rPr>
        <w:t>International Holding Company (IHC)</w:t>
      </w:r>
      <w:r>
        <w:rPr>
          <w:sz w:val="24"/>
          <w:szCs w:val="24"/>
        </w:rPr>
        <w:t xml:space="preserve">, has listed on the Abu Dhabi Securities Exchange Second Market, making its </w:t>
      </w:r>
      <w:r w:rsidRPr="008A4643">
        <w:rPr>
          <w:sz w:val="24"/>
          <w:szCs w:val="24"/>
          <w:lang w:val="en-US"/>
        </w:rPr>
        <w:t xml:space="preserve">trading debut today under the ticker </w:t>
      </w:r>
      <w:r>
        <w:rPr>
          <w:sz w:val="24"/>
          <w:szCs w:val="24"/>
          <w:lang w:val="en-US"/>
        </w:rPr>
        <w:t>ESG.</w:t>
      </w:r>
    </w:p>
    <w:p w:rsidR="00F876DE" w:rsidRPr="008A4643" w:rsidRDefault="00F876DE" w:rsidP="00F876DE">
      <w:pPr>
        <w:shd w:val="clear" w:color="auto" w:fill="FFFFFF" w:themeFill="background1"/>
        <w:spacing w:after="0"/>
        <w:jc w:val="both"/>
        <w:rPr>
          <w:sz w:val="24"/>
          <w:szCs w:val="24"/>
          <w:lang w:val="en-US"/>
        </w:rPr>
      </w:pPr>
      <w:r w:rsidRPr="008A4643">
        <w:rPr>
          <w:sz w:val="24"/>
          <w:szCs w:val="24"/>
          <w:lang w:val="en-US"/>
        </w:rPr>
        <w:t xml:space="preserve"> </w:t>
      </w:r>
    </w:p>
    <w:p w:rsidR="00F876DE" w:rsidRPr="00431E87" w:rsidRDefault="00F876DE" w:rsidP="00F876DE">
      <w:pPr>
        <w:shd w:val="clear" w:color="auto" w:fill="FFFFFF" w:themeFill="background1"/>
        <w:spacing w:after="0"/>
        <w:rPr>
          <w:sz w:val="24"/>
          <w:szCs w:val="24"/>
          <w:lang w:val="en-US"/>
        </w:rPr>
      </w:pPr>
      <w:r>
        <w:rPr>
          <w:sz w:val="24"/>
          <w:szCs w:val="24"/>
          <w:lang w:val="en-US"/>
        </w:rPr>
        <w:t xml:space="preserve">Established in 2006, </w:t>
      </w:r>
      <w:r w:rsidRPr="00B563B7">
        <w:rPr>
          <w:sz w:val="24"/>
          <w:szCs w:val="24"/>
          <w:lang w:val="en-US"/>
        </w:rPr>
        <w:t>Emirates Stallion Group</w:t>
      </w:r>
      <w:r>
        <w:rPr>
          <w:sz w:val="24"/>
          <w:szCs w:val="24"/>
          <w:lang w:val="en-US"/>
        </w:rPr>
        <w:t xml:space="preserve"> </w:t>
      </w:r>
      <w:r w:rsidRPr="0089338F">
        <w:rPr>
          <w:sz w:val="24"/>
          <w:szCs w:val="24"/>
          <w:lang w:val="en-US"/>
        </w:rPr>
        <w:t xml:space="preserve">has </w:t>
      </w:r>
      <w:r>
        <w:rPr>
          <w:sz w:val="24"/>
          <w:szCs w:val="24"/>
          <w:lang w:val="en-US"/>
        </w:rPr>
        <w:t>grown rapidly as a</w:t>
      </w:r>
      <w:r w:rsidRPr="0089338F">
        <w:rPr>
          <w:sz w:val="24"/>
          <w:szCs w:val="24"/>
          <w:lang w:val="en-US"/>
        </w:rPr>
        <w:t xml:space="preserve"> business</w:t>
      </w:r>
      <w:r>
        <w:rPr>
          <w:sz w:val="24"/>
          <w:szCs w:val="24"/>
          <w:lang w:val="en-US"/>
        </w:rPr>
        <w:t xml:space="preserve"> dedicated to</w:t>
      </w:r>
      <w:r w:rsidRPr="0089338F">
        <w:rPr>
          <w:sz w:val="24"/>
          <w:szCs w:val="24"/>
          <w:lang w:val="en-US"/>
        </w:rPr>
        <w:t xml:space="preserve"> engineering</w:t>
      </w:r>
      <w:r>
        <w:rPr>
          <w:sz w:val="24"/>
          <w:szCs w:val="24"/>
          <w:lang w:val="en-US"/>
        </w:rPr>
        <w:t>,</w:t>
      </w:r>
      <w:r w:rsidRPr="0089338F">
        <w:rPr>
          <w:sz w:val="24"/>
          <w:szCs w:val="24"/>
          <w:lang w:val="en-US"/>
        </w:rPr>
        <w:t xml:space="preserve"> construction, development, and management of real estate</w:t>
      </w:r>
      <w:r>
        <w:rPr>
          <w:sz w:val="24"/>
          <w:szCs w:val="24"/>
          <w:lang w:val="en-US"/>
        </w:rPr>
        <w:t xml:space="preserve">, as well as a service provider. The company, which is present in 12 markets, had assets </w:t>
      </w:r>
      <w:r w:rsidRPr="008A74A1">
        <w:rPr>
          <w:sz w:val="24"/>
          <w:szCs w:val="24"/>
          <w:lang w:val="en-US"/>
        </w:rPr>
        <w:t>of AED 537 million as</w:t>
      </w:r>
      <w:r w:rsidRPr="00941F5E">
        <w:rPr>
          <w:sz w:val="24"/>
          <w:szCs w:val="24"/>
          <w:lang w:val="en-US"/>
        </w:rPr>
        <w:t xml:space="preserve"> </w:t>
      </w:r>
      <w:r>
        <w:rPr>
          <w:sz w:val="24"/>
          <w:szCs w:val="24"/>
          <w:lang w:val="en-US"/>
        </w:rPr>
        <w:t>of</w:t>
      </w:r>
      <w:r w:rsidRPr="00941F5E">
        <w:rPr>
          <w:sz w:val="24"/>
          <w:szCs w:val="24"/>
          <w:lang w:val="en-US"/>
        </w:rPr>
        <w:t xml:space="preserve"> the end of </w:t>
      </w:r>
      <w:r>
        <w:rPr>
          <w:sz w:val="24"/>
          <w:szCs w:val="24"/>
          <w:lang w:val="en-US"/>
        </w:rPr>
        <w:t xml:space="preserve">Q1 </w:t>
      </w:r>
      <w:r w:rsidRPr="00941F5E">
        <w:rPr>
          <w:sz w:val="24"/>
          <w:szCs w:val="24"/>
          <w:lang w:val="en-US"/>
        </w:rPr>
        <w:t>202</w:t>
      </w:r>
      <w:r>
        <w:rPr>
          <w:sz w:val="24"/>
          <w:szCs w:val="24"/>
          <w:lang w:val="en-US"/>
        </w:rPr>
        <w:t>1</w:t>
      </w:r>
      <w:r w:rsidRPr="00941F5E">
        <w:rPr>
          <w:sz w:val="24"/>
          <w:szCs w:val="24"/>
          <w:lang w:val="en-US"/>
        </w:rPr>
        <w:t xml:space="preserve"> and over </w:t>
      </w:r>
      <w:r>
        <w:rPr>
          <w:sz w:val="24"/>
          <w:szCs w:val="24"/>
          <w:lang w:val="en-US"/>
        </w:rPr>
        <w:t>1000</w:t>
      </w:r>
      <w:r w:rsidRPr="00941F5E">
        <w:rPr>
          <w:sz w:val="24"/>
          <w:szCs w:val="24"/>
          <w:lang w:val="en-US"/>
        </w:rPr>
        <w:t xml:space="preserve"> employees</w:t>
      </w:r>
      <w:r>
        <w:rPr>
          <w:sz w:val="24"/>
          <w:szCs w:val="24"/>
          <w:lang w:val="en-US"/>
        </w:rPr>
        <w:t>.</w:t>
      </w:r>
    </w:p>
    <w:p w:rsidR="00F876DE" w:rsidRDefault="00F876DE" w:rsidP="00F876DE">
      <w:pPr>
        <w:shd w:val="clear" w:color="auto" w:fill="FFFFFF" w:themeFill="background1"/>
        <w:spacing w:after="0"/>
        <w:rPr>
          <w:sz w:val="24"/>
          <w:szCs w:val="24"/>
          <w:lang w:val="en-US"/>
        </w:rPr>
      </w:pPr>
    </w:p>
    <w:p w:rsidR="00F876DE" w:rsidRPr="00DA175C" w:rsidRDefault="00F876DE" w:rsidP="00F876DE">
      <w:pPr>
        <w:shd w:val="clear" w:color="auto" w:fill="FFFFFF" w:themeFill="background1"/>
        <w:spacing w:after="0"/>
        <w:rPr>
          <w:sz w:val="24"/>
          <w:szCs w:val="24"/>
          <w:lang w:val="en-US"/>
        </w:rPr>
      </w:pPr>
      <w:r>
        <w:rPr>
          <w:b/>
          <w:bCs/>
          <w:sz w:val="24"/>
          <w:szCs w:val="24"/>
        </w:rPr>
        <w:t xml:space="preserve">Saeed Hamad Al </w:t>
      </w:r>
      <w:proofErr w:type="spellStart"/>
      <w:r>
        <w:rPr>
          <w:b/>
          <w:bCs/>
          <w:sz w:val="24"/>
          <w:szCs w:val="24"/>
        </w:rPr>
        <w:t>Dhaheri</w:t>
      </w:r>
      <w:proofErr w:type="spellEnd"/>
      <w:r>
        <w:rPr>
          <w:b/>
          <w:bCs/>
          <w:sz w:val="24"/>
          <w:szCs w:val="24"/>
        </w:rPr>
        <w:t xml:space="preserve">, Chief Executive Officer </w:t>
      </w:r>
      <w:r w:rsidRPr="004D79DA">
        <w:rPr>
          <w:b/>
          <w:bCs/>
          <w:sz w:val="24"/>
          <w:szCs w:val="24"/>
        </w:rPr>
        <w:t xml:space="preserve">of ADX, said: </w:t>
      </w:r>
      <w:r w:rsidRPr="00DA175C">
        <w:rPr>
          <w:sz w:val="24"/>
          <w:szCs w:val="24"/>
          <w:lang w:val="en-US"/>
        </w:rPr>
        <w:t>“The ADX</w:t>
      </w:r>
      <w:r>
        <w:rPr>
          <w:sz w:val="24"/>
          <w:szCs w:val="24"/>
          <w:lang w:val="en-US"/>
        </w:rPr>
        <w:t xml:space="preserve"> continues to make strong progress in deepening the marketplace through new listings and a wider range of products and services. The market has also seen a significant increase in liquidity, make it even more attractive for investors and issuers.  The Second Market offers companies such as Emirates Stallion Group access to a significant pool of capital and opens the door to building brand equity in an influential arena. For investors, the platform provides a unique opportunity to take liquid positions in early- and mid-stage growth companies operating across an increasingly vibrant regional economic landscape.”    </w:t>
      </w:r>
    </w:p>
    <w:p w:rsidR="00F876DE" w:rsidRDefault="00F876DE" w:rsidP="00F876DE">
      <w:pPr>
        <w:shd w:val="clear" w:color="auto" w:fill="FFFFFF" w:themeFill="background1"/>
        <w:spacing w:after="0"/>
        <w:rPr>
          <w:sz w:val="24"/>
          <w:szCs w:val="24"/>
          <w:lang w:val="en-US"/>
        </w:rPr>
      </w:pPr>
    </w:p>
    <w:p w:rsidR="00F876DE" w:rsidRDefault="00F876DE" w:rsidP="00F876DE">
      <w:pPr>
        <w:shd w:val="clear" w:color="auto" w:fill="FFFFFF" w:themeFill="background1"/>
        <w:spacing w:after="0"/>
        <w:jc w:val="both"/>
        <w:rPr>
          <w:sz w:val="24"/>
          <w:szCs w:val="24"/>
        </w:rPr>
      </w:pPr>
      <w:proofErr w:type="spellStart"/>
      <w:r w:rsidRPr="008A74A1">
        <w:rPr>
          <w:b/>
          <w:bCs/>
          <w:sz w:val="24"/>
          <w:szCs w:val="24"/>
        </w:rPr>
        <w:t>Matar</w:t>
      </w:r>
      <w:proofErr w:type="spellEnd"/>
      <w:r w:rsidRPr="008A74A1">
        <w:rPr>
          <w:b/>
          <w:bCs/>
          <w:sz w:val="24"/>
          <w:szCs w:val="24"/>
        </w:rPr>
        <w:t xml:space="preserve"> </w:t>
      </w:r>
      <w:proofErr w:type="spellStart"/>
      <w:r w:rsidRPr="008A74A1">
        <w:rPr>
          <w:b/>
          <w:bCs/>
          <w:sz w:val="24"/>
          <w:szCs w:val="24"/>
        </w:rPr>
        <w:t>Suhail</w:t>
      </w:r>
      <w:proofErr w:type="spellEnd"/>
      <w:r w:rsidRPr="008A74A1">
        <w:rPr>
          <w:b/>
          <w:bCs/>
          <w:sz w:val="24"/>
          <w:szCs w:val="24"/>
        </w:rPr>
        <w:t xml:space="preserve"> Al </w:t>
      </w:r>
      <w:proofErr w:type="spellStart"/>
      <w:r w:rsidRPr="008A74A1">
        <w:rPr>
          <w:b/>
          <w:bCs/>
          <w:sz w:val="24"/>
          <w:szCs w:val="24"/>
        </w:rPr>
        <w:t>Yabhouni</w:t>
      </w:r>
      <w:proofErr w:type="spellEnd"/>
      <w:r w:rsidRPr="008A74A1">
        <w:rPr>
          <w:b/>
          <w:bCs/>
          <w:sz w:val="24"/>
          <w:szCs w:val="24"/>
        </w:rPr>
        <w:t xml:space="preserve"> Al </w:t>
      </w:r>
      <w:proofErr w:type="spellStart"/>
      <w:r w:rsidRPr="008A74A1">
        <w:rPr>
          <w:b/>
          <w:bCs/>
          <w:sz w:val="24"/>
          <w:szCs w:val="24"/>
        </w:rPr>
        <w:t>Dhaheri</w:t>
      </w:r>
      <w:proofErr w:type="spellEnd"/>
      <w:r w:rsidRPr="008A74A1">
        <w:rPr>
          <w:b/>
          <w:bCs/>
          <w:sz w:val="24"/>
          <w:szCs w:val="24"/>
        </w:rPr>
        <w:t xml:space="preserve">, Chairman of </w:t>
      </w:r>
      <w:r w:rsidRPr="008A74A1">
        <w:rPr>
          <w:b/>
          <w:bCs/>
          <w:sz w:val="24"/>
          <w:szCs w:val="24"/>
          <w:lang w:val="en-US"/>
        </w:rPr>
        <w:t>Emirates Stallion Group</w:t>
      </w:r>
      <w:r w:rsidRPr="00561322">
        <w:rPr>
          <w:sz w:val="24"/>
          <w:szCs w:val="24"/>
        </w:rPr>
        <w:t xml:space="preserve"> said</w:t>
      </w:r>
      <w:r w:rsidRPr="00EE434D">
        <w:rPr>
          <w:b/>
          <w:bCs/>
          <w:sz w:val="24"/>
          <w:szCs w:val="24"/>
        </w:rPr>
        <w:t>:</w:t>
      </w:r>
      <w:r w:rsidRPr="001B1308">
        <w:rPr>
          <w:sz w:val="24"/>
          <w:szCs w:val="24"/>
        </w:rPr>
        <w:t xml:space="preserve"> </w:t>
      </w:r>
      <w:r>
        <w:rPr>
          <w:sz w:val="24"/>
          <w:szCs w:val="24"/>
        </w:rPr>
        <w:t xml:space="preserve">“Listing Emirates Stallion Group on the ADX Second Market allows wider investor participation in an important business within the IHC Group. Backed by the financial strength of IHC, the second largest company by market capitalisation on the ADX, our portfolio companies have proven resilient over the last year and are well positioned to grasp new opportunities as the UAE and regional economies make a strong rebound from the global pandemic.”        </w:t>
      </w:r>
    </w:p>
    <w:p w:rsidR="00F876DE" w:rsidRDefault="00F876DE" w:rsidP="00F876DE">
      <w:pPr>
        <w:shd w:val="clear" w:color="auto" w:fill="FFFFFF" w:themeFill="background1"/>
        <w:spacing w:after="0"/>
        <w:rPr>
          <w:sz w:val="24"/>
          <w:szCs w:val="24"/>
          <w:lang w:val="en-US"/>
        </w:rPr>
      </w:pPr>
    </w:p>
    <w:p w:rsidR="00F876DE" w:rsidRDefault="00F876DE" w:rsidP="00F876DE">
      <w:pPr>
        <w:pStyle w:val="Bullets1"/>
        <w:numPr>
          <w:ilvl w:val="0"/>
          <w:numId w:val="0"/>
        </w:numPr>
        <w:shd w:val="clear" w:color="auto" w:fill="FFFFFF" w:themeFill="background1"/>
        <w:spacing w:after="0"/>
        <w:ind w:left="10"/>
        <w:jc w:val="both"/>
        <w:rPr>
          <w:sz w:val="24"/>
          <w:szCs w:val="24"/>
          <w:lang w:val="en-US"/>
        </w:rPr>
      </w:pPr>
      <w:r>
        <w:rPr>
          <w:sz w:val="24"/>
          <w:szCs w:val="24"/>
          <w:lang w:val="en-US"/>
        </w:rPr>
        <w:t xml:space="preserve">Emirates Stallion is the </w:t>
      </w:r>
      <w:r w:rsidRPr="00561322">
        <w:rPr>
          <w:sz w:val="24"/>
          <w:szCs w:val="24"/>
          <w:lang w:val="en-US"/>
        </w:rPr>
        <w:t>fourth</w:t>
      </w:r>
      <w:r>
        <w:rPr>
          <w:sz w:val="24"/>
          <w:szCs w:val="24"/>
          <w:lang w:val="en-US"/>
        </w:rPr>
        <w:t xml:space="preserve"> IHC Group company to list on the ADX Second Market, following </w:t>
      </w:r>
      <w:r w:rsidRPr="00CB27F9">
        <w:rPr>
          <w:sz w:val="24"/>
          <w:szCs w:val="24"/>
          <w:shd w:val="clear" w:color="auto" w:fill="FFFFFF" w:themeFill="background1"/>
          <w:lang w:val="en-US"/>
        </w:rPr>
        <w:t xml:space="preserve">the successful listings of Palm Sports, </w:t>
      </w:r>
      <w:proofErr w:type="spellStart"/>
      <w:r w:rsidRPr="00CB27F9">
        <w:rPr>
          <w:sz w:val="24"/>
          <w:szCs w:val="24"/>
          <w:shd w:val="clear" w:color="auto" w:fill="FFFFFF" w:themeFill="background1"/>
          <w:lang w:val="en-US"/>
        </w:rPr>
        <w:t>Easylease</w:t>
      </w:r>
      <w:proofErr w:type="spellEnd"/>
      <w:r w:rsidRPr="00CB27F9">
        <w:rPr>
          <w:sz w:val="24"/>
          <w:szCs w:val="24"/>
          <w:shd w:val="clear" w:color="auto" w:fill="FFFFFF" w:themeFill="background1"/>
          <w:lang w:val="en-US"/>
        </w:rPr>
        <w:t xml:space="preserve"> and</w:t>
      </w:r>
      <w:r>
        <w:rPr>
          <w:sz w:val="24"/>
          <w:szCs w:val="24"/>
          <w:lang w:val="en-US"/>
        </w:rPr>
        <w:t xml:space="preserve"> Zee Stores in late 2020.</w:t>
      </w:r>
    </w:p>
    <w:p w:rsidR="00F876DE" w:rsidRPr="00176C77" w:rsidRDefault="00F876DE" w:rsidP="00F876DE">
      <w:pPr>
        <w:shd w:val="clear" w:color="auto" w:fill="FFFFFF" w:themeFill="background1"/>
        <w:spacing w:after="0"/>
        <w:rPr>
          <w:sz w:val="24"/>
          <w:szCs w:val="24"/>
          <w:lang w:val="en-US"/>
        </w:rPr>
      </w:pPr>
    </w:p>
    <w:p w:rsidR="00F876DE" w:rsidRDefault="00F876DE" w:rsidP="00F876DE">
      <w:pPr>
        <w:jc w:val="both"/>
        <w:rPr>
          <w:sz w:val="24"/>
          <w:szCs w:val="24"/>
        </w:rPr>
      </w:pPr>
      <w:r>
        <w:rPr>
          <w:sz w:val="24"/>
          <w:szCs w:val="24"/>
        </w:rPr>
        <w:t>Trading on the Abu Dhabi Securities Exchange has increased notably this year, as the exchange’s</w:t>
      </w:r>
      <w:r w:rsidRPr="00572EF3">
        <w:rPr>
          <w:sz w:val="24"/>
          <w:szCs w:val="24"/>
        </w:rPr>
        <w:t xml:space="preserve"> market capitalization increased 25% </w:t>
      </w:r>
      <w:r>
        <w:rPr>
          <w:sz w:val="24"/>
          <w:szCs w:val="24"/>
        </w:rPr>
        <w:t>during the first quarter</w:t>
      </w:r>
      <w:r w:rsidRPr="00572EF3">
        <w:rPr>
          <w:sz w:val="24"/>
          <w:szCs w:val="24"/>
        </w:rPr>
        <w:t xml:space="preserve"> to a record AED 936 billion. </w:t>
      </w:r>
      <w:r>
        <w:rPr>
          <w:sz w:val="24"/>
          <w:szCs w:val="24"/>
        </w:rPr>
        <w:t>In the first three months of 2021, the</w:t>
      </w:r>
      <w:r w:rsidRPr="00871944">
        <w:rPr>
          <w:sz w:val="24"/>
          <w:szCs w:val="24"/>
        </w:rPr>
        <w:t xml:space="preserve"> total traded value of stocks bought and sold increased five-fold year on year to AED 107.8 billion and the benchmark ADX index advanced 17%. Meanwhile, buying and selling by institutional investors increased significantly to AED 92.6 billion in value, from AED 14.6 billion, while trading by retail investors more than doubled to AED 15.1 billion.</w:t>
      </w:r>
    </w:p>
    <w:p w:rsidR="00F876DE" w:rsidRDefault="00F876DE"/>
    <w:p w:rsidR="00F876DE" w:rsidRDefault="00F876DE">
      <w:pPr>
        <w:spacing w:after="160" w:line="259" w:lineRule="auto"/>
      </w:pPr>
      <w:bookmarkStart w:id="0" w:name="_GoBack"/>
      <w:bookmarkEnd w:id="0"/>
    </w:p>
    <w:sectPr w:rsidR="00F87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E095B"/>
    <w:multiLevelType w:val="hybridMultilevel"/>
    <w:tmpl w:val="8182CE14"/>
    <w:lvl w:ilvl="0" w:tplc="6EC03EFA">
      <w:start w:val="1"/>
      <w:numFmt w:val="bullet"/>
      <w:pStyle w:val="Bullets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77"/>
    <w:rsid w:val="0014518D"/>
    <w:rsid w:val="0015747D"/>
    <w:rsid w:val="0017513B"/>
    <w:rsid w:val="001E1F65"/>
    <w:rsid w:val="003925CA"/>
    <w:rsid w:val="003A6549"/>
    <w:rsid w:val="00494954"/>
    <w:rsid w:val="00511634"/>
    <w:rsid w:val="00515ECA"/>
    <w:rsid w:val="007B264D"/>
    <w:rsid w:val="00BB641D"/>
    <w:rsid w:val="00C11864"/>
    <w:rsid w:val="00CF171A"/>
    <w:rsid w:val="00D04D1D"/>
    <w:rsid w:val="00D50A29"/>
    <w:rsid w:val="00D61090"/>
    <w:rsid w:val="00D65869"/>
    <w:rsid w:val="00D71DED"/>
    <w:rsid w:val="00E1588C"/>
    <w:rsid w:val="00E747DB"/>
    <w:rsid w:val="00EA1646"/>
    <w:rsid w:val="00F21677"/>
    <w:rsid w:val="00F7729D"/>
    <w:rsid w:val="00F876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1282C"/>
  <w15:chartTrackingRefBased/>
  <w15:docId w15:val="{99883C7D-83C6-4752-9E4A-31AF10E0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6DE"/>
    <w:pPr>
      <w:spacing w:after="120" w:line="240" w:lineRule="auto"/>
    </w:pPr>
    <w:rPr>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76DE"/>
    <w:pPr>
      <w:spacing w:before="100" w:beforeAutospacing="1" w:after="100" w:afterAutospacing="1"/>
    </w:pPr>
    <w:rPr>
      <w:rFonts w:ascii="Times New Roman" w:eastAsiaTheme="minorEastAsia" w:hAnsi="Times New Roman" w:cs="Times New Roman"/>
      <w:sz w:val="24"/>
      <w:szCs w:val="24"/>
    </w:rPr>
  </w:style>
  <w:style w:type="paragraph" w:customStyle="1" w:styleId="Bullets1">
    <w:name w:val="Bullets 1"/>
    <w:basedOn w:val="Normal"/>
    <w:uiPriority w:val="1"/>
    <w:qFormat/>
    <w:rsid w:val="00F876DE"/>
    <w:pPr>
      <w:numPr>
        <w:numId w:val="1"/>
      </w:numPr>
      <w:spacing w:after="60"/>
      <w:ind w:left="220"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22</cp:revision>
  <dcterms:created xsi:type="dcterms:W3CDTF">2021-06-03T06:09:00Z</dcterms:created>
  <dcterms:modified xsi:type="dcterms:W3CDTF">2021-06-03T09:59:00Z</dcterms:modified>
</cp:coreProperties>
</file>